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EC7" w:rsidRPr="007B7939" w:rsidRDefault="00FF1EC7" w:rsidP="007637BF">
      <w:pPr>
        <w:jc w:val="right"/>
        <w:rPr>
          <w:rFonts w:ascii="Arial" w:hAnsi="Arial" w:cs="Arial"/>
          <w:b/>
          <w:sz w:val="48"/>
          <w:szCs w:val="48"/>
        </w:rPr>
      </w:pPr>
      <w:bookmarkStart w:id="0" w:name="_Toc153189646"/>
      <w:r w:rsidRPr="007B7939">
        <w:rPr>
          <w:rFonts w:ascii="Arial" w:hAnsi="Arial" w:cs="Arial"/>
          <w:b/>
          <w:sz w:val="48"/>
          <w:szCs w:val="48"/>
        </w:rPr>
        <w:t xml:space="preserve">Work Paper </w:t>
      </w:r>
      <w:bookmarkEnd w:id="0"/>
      <w:r w:rsidRPr="007B7939">
        <w:rPr>
          <w:rFonts w:ascii="Arial" w:hAnsi="Arial" w:cs="Arial"/>
          <w:b/>
          <w:sz w:val="48"/>
          <w:szCs w:val="48"/>
        </w:rPr>
        <w:t>PGECOLTG109</w:t>
      </w:r>
    </w:p>
    <w:p w:rsidR="00FF1EC7" w:rsidRPr="007B7939" w:rsidRDefault="00FF1EC7" w:rsidP="007637BF">
      <w:pPr>
        <w:jc w:val="right"/>
        <w:rPr>
          <w:rFonts w:ascii="Arial" w:hAnsi="Arial" w:cs="Arial"/>
          <w:b/>
          <w:sz w:val="48"/>
          <w:szCs w:val="48"/>
        </w:rPr>
      </w:pPr>
      <w:r w:rsidRPr="007B7939">
        <w:rPr>
          <w:rFonts w:ascii="Arial" w:hAnsi="Arial" w:cs="Arial"/>
          <w:b/>
          <w:sz w:val="48"/>
          <w:szCs w:val="48"/>
        </w:rPr>
        <w:t xml:space="preserve"> Compact Fluorescent Exterior Fixture</w:t>
      </w:r>
    </w:p>
    <w:p w:rsidR="00FF1EC7" w:rsidRPr="007B7939" w:rsidRDefault="00FF1EC7" w:rsidP="007637BF">
      <w:pPr>
        <w:jc w:val="right"/>
        <w:rPr>
          <w:rFonts w:ascii="Arial" w:hAnsi="Arial" w:cs="Arial"/>
          <w:b/>
          <w:sz w:val="48"/>
          <w:szCs w:val="48"/>
        </w:rPr>
      </w:pPr>
      <w:bookmarkStart w:id="1" w:name="_Toc153189647"/>
      <w:r w:rsidRPr="007B7939">
        <w:rPr>
          <w:rFonts w:ascii="Arial" w:hAnsi="Arial" w:cs="Arial"/>
          <w:b/>
          <w:sz w:val="48"/>
          <w:szCs w:val="48"/>
        </w:rPr>
        <w:t xml:space="preserve">Revision </w:t>
      </w:r>
      <w:bookmarkEnd w:id="1"/>
      <w:r w:rsidR="00E8444B">
        <w:rPr>
          <w:rFonts w:ascii="Arial" w:hAnsi="Arial" w:cs="Arial"/>
          <w:b/>
          <w:sz w:val="48"/>
          <w:szCs w:val="48"/>
        </w:rPr>
        <w:t>6</w:t>
      </w:r>
    </w:p>
    <w:p w:rsidR="00FF1EC7" w:rsidRPr="007B7939" w:rsidRDefault="00FF1EC7" w:rsidP="007637BF">
      <w:pPr>
        <w:jc w:val="right"/>
      </w:pPr>
    </w:p>
    <w:p w:rsidR="00FF1EC7" w:rsidRPr="007B7939" w:rsidRDefault="00FF1EC7" w:rsidP="007637BF">
      <w:pPr>
        <w:pBdr>
          <w:bottom w:val="single" w:sz="4" w:space="1" w:color="auto"/>
        </w:pBdr>
        <w:jc w:val="right"/>
        <w:rPr>
          <w:rFonts w:ascii="Arial" w:hAnsi="Arial" w:cs="Arial"/>
          <w:b/>
          <w:sz w:val="36"/>
          <w:szCs w:val="36"/>
        </w:rPr>
      </w:pPr>
      <w:r w:rsidRPr="007B7939">
        <w:rPr>
          <w:rFonts w:ascii="Arial" w:hAnsi="Arial" w:cs="Arial"/>
          <w:b/>
          <w:sz w:val="36"/>
          <w:szCs w:val="36"/>
        </w:rPr>
        <w:t>Pacific Gas &amp; Electric Company</w:t>
      </w:r>
    </w:p>
    <w:p w:rsidR="00FF1EC7" w:rsidRPr="007B7939" w:rsidRDefault="00FF1EC7" w:rsidP="007637BF">
      <w:pPr>
        <w:jc w:val="right"/>
        <w:rPr>
          <w:rFonts w:ascii="Arial" w:hAnsi="Arial" w:cs="Arial"/>
          <w:b/>
          <w:sz w:val="32"/>
          <w:szCs w:val="32"/>
        </w:rPr>
      </w:pPr>
      <w:r w:rsidRPr="007B7939">
        <w:rPr>
          <w:rFonts w:ascii="Arial" w:hAnsi="Arial" w:cs="Arial"/>
          <w:b/>
          <w:sz w:val="32"/>
          <w:szCs w:val="32"/>
        </w:rPr>
        <w:t>Customer Energy Efficiency Department</w:t>
      </w:r>
    </w:p>
    <w:p w:rsidR="00FF1EC7" w:rsidRPr="007B7939" w:rsidRDefault="00FF1EC7" w:rsidP="00580F3B"/>
    <w:p w:rsidR="00262D9E" w:rsidRPr="007B7939" w:rsidRDefault="00262D9E" w:rsidP="00580F3B">
      <w:pPr>
        <w:ind w:right="-720"/>
        <w:rPr>
          <w:rFonts w:ascii="Arial" w:hAnsi="Arial" w:cs="Arial"/>
          <w:b/>
          <w:sz w:val="72"/>
          <w:szCs w:val="72"/>
        </w:rPr>
      </w:pPr>
    </w:p>
    <w:p w:rsidR="00262D9E" w:rsidRPr="007B7939" w:rsidRDefault="00262D9E" w:rsidP="00580F3B">
      <w:pPr>
        <w:ind w:right="-720"/>
        <w:rPr>
          <w:rFonts w:ascii="Arial" w:hAnsi="Arial" w:cs="Arial"/>
          <w:b/>
          <w:sz w:val="72"/>
          <w:szCs w:val="72"/>
        </w:rPr>
      </w:pPr>
    </w:p>
    <w:p w:rsidR="00262D9E" w:rsidRPr="007B7939" w:rsidRDefault="00262D9E" w:rsidP="00580F3B">
      <w:pPr>
        <w:ind w:right="-720"/>
        <w:rPr>
          <w:rFonts w:ascii="Arial" w:hAnsi="Arial" w:cs="Arial"/>
          <w:b/>
          <w:sz w:val="72"/>
          <w:szCs w:val="72"/>
        </w:rPr>
      </w:pPr>
    </w:p>
    <w:p w:rsidR="00262D9E" w:rsidRPr="007B7939" w:rsidRDefault="00262D9E" w:rsidP="00580F3B">
      <w:pPr>
        <w:ind w:right="-720"/>
        <w:rPr>
          <w:rFonts w:ascii="Arial" w:hAnsi="Arial" w:cs="Arial"/>
          <w:b/>
          <w:sz w:val="72"/>
          <w:szCs w:val="72"/>
        </w:rPr>
      </w:pPr>
    </w:p>
    <w:p w:rsidR="00FF1EC7" w:rsidRPr="007B7939" w:rsidRDefault="00FF1EC7" w:rsidP="00580F3B">
      <w:pPr>
        <w:ind w:right="-720"/>
        <w:rPr>
          <w:rFonts w:ascii="Arial" w:hAnsi="Arial" w:cs="Arial"/>
          <w:b/>
        </w:rPr>
      </w:pPr>
      <w:r w:rsidRPr="007B7939">
        <w:rPr>
          <w:rFonts w:ascii="Arial" w:hAnsi="Arial" w:cs="Arial"/>
          <w:b/>
          <w:sz w:val="72"/>
          <w:szCs w:val="72"/>
        </w:rPr>
        <w:t xml:space="preserve">Compact Fluorescent Exterior Fixture </w:t>
      </w:r>
      <w:r w:rsidRPr="007B7939">
        <w:rPr>
          <w:rFonts w:ascii="Arial" w:hAnsi="Arial" w:cs="Arial"/>
          <w:b/>
          <w:highlight w:val="cyan"/>
        </w:rPr>
        <w:t xml:space="preserve"> </w:t>
      </w:r>
    </w:p>
    <w:p w:rsidR="00FF1EC7" w:rsidRPr="007B7939" w:rsidRDefault="00FF1EC7" w:rsidP="00580F3B">
      <w:pPr>
        <w:ind w:right="-720"/>
        <w:rPr>
          <w:rFonts w:ascii="Arial" w:hAnsi="Arial" w:cs="Arial"/>
          <w:b/>
        </w:rPr>
      </w:pPr>
      <w:r w:rsidRPr="007B7939">
        <w:rPr>
          <w:rFonts w:ascii="Arial" w:hAnsi="Arial" w:cs="Arial"/>
          <w:b/>
        </w:rPr>
        <w:t xml:space="preserve">Measure Codes </w:t>
      </w:r>
      <w:r w:rsidR="007B7939">
        <w:rPr>
          <w:rFonts w:ascii="Arial" w:hAnsi="Arial" w:cs="Arial"/>
          <w:b/>
        </w:rPr>
        <w:t>L</w:t>
      </w:r>
      <w:r w:rsidRPr="007B7939">
        <w:rPr>
          <w:rFonts w:ascii="Arial" w:hAnsi="Arial" w:cs="Arial"/>
          <w:b/>
        </w:rPr>
        <w:t xml:space="preserve">811, </w:t>
      </w:r>
      <w:r w:rsidR="007B7939">
        <w:rPr>
          <w:rFonts w:ascii="Arial" w:hAnsi="Arial" w:cs="Arial"/>
          <w:b/>
        </w:rPr>
        <w:t>L</w:t>
      </w:r>
      <w:r w:rsidRPr="007B7939">
        <w:rPr>
          <w:rFonts w:ascii="Arial" w:hAnsi="Arial" w:cs="Arial"/>
          <w:b/>
        </w:rPr>
        <w:t>855</w:t>
      </w:r>
    </w:p>
    <w:p w:rsidR="00FF1EC7" w:rsidRPr="007B7939" w:rsidRDefault="00FF1EC7" w:rsidP="00580F3B">
      <w:pPr>
        <w:ind w:right="-720"/>
        <w:rPr>
          <w:rFonts w:ascii="Arial" w:hAnsi="Arial" w:cs="Arial"/>
          <w:b/>
        </w:rPr>
      </w:pPr>
    </w:p>
    <w:p w:rsidR="00FF1EC7" w:rsidRPr="007B7939" w:rsidRDefault="00FF1EC7" w:rsidP="00580F3B">
      <w:pPr>
        <w:ind w:right="-720"/>
        <w:rPr>
          <w:rFonts w:ascii="Arial" w:hAnsi="Arial" w:cs="Arial"/>
          <w:b/>
        </w:rPr>
      </w:pPr>
    </w:p>
    <w:p w:rsidR="00FF1EC7" w:rsidRDefault="00FF1EC7" w:rsidP="00580F3B">
      <w:pPr>
        <w:ind w:right="-720"/>
        <w:rPr>
          <w:rFonts w:ascii="Arial" w:hAnsi="Arial" w:cs="Arial"/>
          <w:b/>
          <w:color w:val="FF0000"/>
        </w:rPr>
        <w:sectPr w:rsidR="00FF1EC7" w:rsidSect="00E8444B">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440" w:bottom="1440" w:left="1440" w:header="720" w:footer="720" w:gutter="0"/>
          <w:pgNumType w:fmt="lowerRoman"/>
          <w:cols w:space="720"/>
          <w:titlePg/>
          <w:docGrid w:linePitch="360"/>
        </w:sectPr>
      </w:pPr>
    </w:p>
    <w:p w:rsidR="00054F7F" w:rsidRDefault="00054F7F" w:rsidP="00580F3B">
      <w:pPr>
        <w:pStyle w:val="Heading1"/>
      </w:pPr>
      <w:bookmarkStart w:id="2" w:name="_Toc436750789"/>
      <w:r>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604"/>
        <w:gridCol w:w="2883"/>
      </w:tblGrid>
      <w:tr w:rsidR="00054F7F" w:rsidTr="00382640">
        <w:trPr>
          <w:trHeight w:val="465"/>
        </w:trPr>
        <w:tc>
          <w:tcPr>
            <w:tcW w:w="4161" w:type="dxa"/>
            <w:shd w:val="pct20" w:color="000000" w:fill="FFFFFF"/>
          </w:tcPr>
          <w:p w:rsidR="00054F7F" w:rsidRPr="00E8444B" w:rsidRDefault="00054F7F" w:rsidP="00580F3B">
            <w:pPr>
              <w:rPr>
                <w:b/>
              </w:rPr>
            </w:pPr>
            <w:r w:rsidRPr="00E8444B">
              <w:rPr>
                <w:b/>
              </w:rPr>
              <w:t>Applicable Measure Codes:</w:t>
            </w:r>
          </w:p>
        </w:tc>
        <w:tc>
          <w:tcPr>
            <w:tcW w:w="5487" w:type="dxa"/>
            <w:gridSpan w:val="2"/>
            <w:shd w:val="pct20" w:color="000000" w:fill="FFFFFF"/>
          </w:tcPr>
          <w:p w:rsidR="00054F7F" w:rsidRPr="00452324" w:rsidRDefault="00054F7F" w:rsidP="00580F3B">
            <w:pPr>
              <w:rPr>
                <w:sz w:val="20"/>
                <w:szCs w:val="20"/>
              </w:rPr>
            </w:pPr>
            <w:r w:rsidRPr="00452324">
              <w:rPr>
                <w:sz w:val="20"/>
                <w:szCs w:val="20"/>
              </w:rPr>
              <w:t>L811</w:t>
            </w:r>
            <w:r w:rsidR="00452324" w:rsidRPr="00452324">
              <w:rPr>
                <w:sz w:val="20"/>
                <w:szCs w:val="20"/>
              </w:rPr>
              <w:t xml:space="preserve">(tenant dwelling) </w:t>
            </w:r>
            <w:r w:rsidRPr="00452324">
              <w:rPr>
                <w:sz w:val="20"/>
                <w:szCs w:val="20"/>
              </w:rPr>
              <w:t>, L855</w:t>
            </w:r>
            <w:r w:rsidR="00452324" w:rsidRPr="00452324">
              <w:rPr>
                <w:sz w:val="20"/>
                <w:szCs w:val="20"/>
              </w:rPr>
              <w:t xml:space="preserve"> (common area)</w:t>
            </w:r>
          </w:p>
        </w:tc>
      </w:tr>
      <w:tr w:rsidR="00054F7F" w:rsidTr="00382640">
        <w:trPr>
          <w:trHeight w:val="465"/>
        </w:trPr>
        <w:tc>
          <w:tcPr>
            <w:tcW w:w="4161" w:type="dxa"/>
            <w:shd w:val="pct5" w:color="000000" w:fill="FFFFFF"/>
          </w:tcPr>
          <w:p w:rsidR="00054F7F" w:rsidRDefault="00054F7F" w:rsidP="00580F3B">
            <w:pPr>
              <w:rPr>
                <w:b/>
              </w:rPr>
            </w:pPr>
            <w:r>
              <w:rPr>
                <w:b/>
              </w:rPr>
              <w:t xml:space="preserve">Measure Description: </w:t>
            </w:r>
          </w:p>
        </w:tc>
        <w:tc>
          <w:tcPr>
            <w:tcW w:w="5487" w:type="dxa"/>
            <w:gridSpan w:val="2"/>
            <w:shd w:val="pct5" w:color="000000" w:fill="FFFFFF"/>
          </w:tcPr>
          <w:p w:rsidR="00054F7F" w:rsidRDefault="00054F7F" w:rsidP="00580F3B">
            <w:pPr>
              <w:rPr>
                <w:sz w:val="20"/>
                <w:szCs w:val="20"/>
              </w:rPr>
            </w:pPr>
            <w:r>
              <w:rPr>
                <w:sz w:val="20"/>
                <w:szCs w:val="20"/>
              </w:rPr>
              <w:t>Source: PG&amp;E Lighting Rebate Catalog</w:t>
            </w:r>
          </w:p>
          <w:p w:rsidR="00054F7F" w:rsidRDefault="00054F7F" w:rsidP="00EF45E7">
            <w:pPr>
              <w:rPr>
                <w:sz w:val="20"/>
                <w:szCs w:val="20"/>
              </w:rPr>
            </w:pPr>
            <w:r>
              <w:rPr>
                <w:sz w:val="20"/>
                <w:szCs w:val="20"/>
              </w:rPr>
              <w:t xml:space="preserve">Replace an existing incandescent fixture that is rated greater than 60 watts and is attached to tenant dwelling (L811), </w:t>
            </w:r>
            <w:r w:rsidR="007D7E9C">
              <w:rPr>
                <w:sz w:val="20"/>
                <w:szCs w:val="20"/>
              </w:rPr>
              <w:t>such as</w:t>
            </w:r>
            <w:r>
              <w:rPr>
                <w:sz w:val="20"/>
                <w:szCs w:val="20"/>
              </w:rPr>
              <w:t xml:space="preserve"> porch lights </w:t>
            </w:r>
            <w:r w:rsidR="00EF45E7">
              <w:rPr>
                <w:sz w:val="20"/>
                <w:szCs w:val="20"/>
              </w:rPr>
              <w:t>and</w:t>
            </w:r>
            <w:r>
              <w:rPr>
                <w:sz w:val="20"/>
                <w:szCs w:val="20"/>
              </w:rPr>
              <w:t xml:space="preserve"> common area (e.g., walkways, carport/garage) (L855).  </w:t>
            </w:r>
          </w:p>
        </w:tc>
      </w:tr>
      <w:tr w:rsidR="00DF65F8" w:rsidTr="00382640">
        <w:trPr>
          <w:trHeight w:val="465"/>
        </w:trPr>
        <w:tc>
          <w:tcPr>
            <w:tcW w:w="4161" w:type="dxa"/>
            <w:shd w:val="pct20" w:color="000000" w:fill="FFFFFF"/>
          </w:tcPr>
          <w:p w:rsidR="00DF65F8" w:rsidRDefault="00DF65F8" w:rsidP="009C59BE">
            <w:pPr>
              <w:rPr>
                <w:b/>
              </w:rPr>
            </w:pPr>
            <w:r>
              <w:rPr>
                <w:b/>
              </w:rPr>
              <w:t>Base Case Description:</w:t>
            </w:r>
          </w:p>
        </w:tc>
        <w:tc>
          <w:tcPr>
            <w:tcW w:w="5487" w:type="dxa"/>
            <w:gridSpan w:val="2"/>
            <w:shd w:val="pct20" w:color="000000" w:fill="FFFFFF"/>
          </w:tcPr>
          <w:p w:rsidR="00DF65F8" w:rsidRDefault="000518EE" w:rsidP="009C59BE">
            <w:pPr>
              <w:pStyle w:val="EndnoteText"/>
            </w:pPr>
            <w:r>
              <w:t>The base case wattage is based on the wattage reduction ratio (WRR = 3.53).</w:t>
            </w:r>
          </w:p>
          <w:p w:rsidR="000518EE" w:rsidRDefault="000518EE" w:rsidP="009C59BE">
            <w:pPr>
              <w:pStyle w:val="EndnoteText"/>
            </w:pPr>
            <w:r>
              <w:t>Source:  2014 DEER</w:t>
            </w:r>
          </w:p>
        </w:tc>
      </w:tr>
      <w:tr w:rsidR="00DF65F8" w:rsidTr="00DF65F8">
        <w:trPr>
          <w:trHeight w:val="465"/>
        </w:trPr>
        <w:tc>
          <w:tcPr>
            <w:tcW w:w="4161" w:type="dxa"/>
            <w:shd w:val="clear" w:color="auto" w:fill="F2F2F2" w:themeFill="background1" w:themeFillShade="F2"/>
          </w:tcPr>
          <w:p w:rsidR="00DF65F8" w:rsidRDefault="00DF65F8" w:rsidP="00580F3B">
            <w:pPr>
              <w:rPr>
                <w:b/>
              </w:rPr>
            </w:pPr>
            <w:r>
              <w:rPr>
                <w:b/>
              </w:rPr>
              <w:t xml:space="preserve">Energy Impact Common Units: </w:t>
            </w:r>
          </w:p>
        </w:tc>
        <w:tc>
          <w:tcPr>
            <w:tcW w:w="5487" w:type="dxa"/>
            <w:gridSpan w:val="2"/>
            <w:shd w:val="clear" w:color="auto" w:fill="F2F2F2" w:themeFill="background1" w:themeFillShade="F2"/>
          </w:tcPr>
          <w:p w:rsidR="00DF65F8" w:rsidRDefault="00DF65F8" w:rsidP="00580F3B">
            <w:pPr>
              <w:rPr>
                <w:sz w:val="20"/>
                <w:szCs w:val="20"/>
              </w:rPr>
            </w:pPr>
            <w:r>
              <w:rPr>
                <w:sz w:val="20"/>
                <w:szCs w:val="20"/>
              </w:rPr>
              <w:t xml:space="preserve">Per fixture. </w:t>
            </w:r>
          </w:p>
        </w:tc>
      </w:tr>
      <w:tr w:rsidR="00DF65F8" w:rsidTr="00382640">
        <w:trPr>
          <w:trHeight w:val="465"/>
        </w:trPr>
        <w:tc>
          <w:tcPr>
            <w:tcW w:w="4161" w:type="dxa"/>
            <w:shd w:val="pct20" w:color="000000" w:fill="FFFFFF"/>
          </w:tcPr>
          <w:p w:rsidR="00DF65F8" w:rsidRDefault="00DF65F8" w:rsidP="00580F3B">
            <w:pPr>
              <w:rPr>
                <w:b/>
              </w:rPr>
            </w:pPr>
            <w:r>
              <w:rPr>
                <w:b/>
              </w:rPr>
              <w:t xml:space="preserve">Base Case Energy Consumption: </w:t>
            </w:r>
          </w:p>
        </w:tc>
        <w:tc>
          <w:tcPr>
            <w:tcW w:w="2604" w:type="dxa"/>
            <w:tcBorders>
              <w:right w:val="single" w:sz="24" w:space="0" w:color="FFFFFF"/>
            </w:tcBorders>
            <w:shd w:val="pct20" w:color="000000" w:fill="FFFFFF"/>
          </w:tcPr>
          <w:p w:rsidR="00DF65F8" w:rsidRDefault="00DF65F8" w:rsidP="00403619">
            <w:pPr>
              <w:rPr>
                <w:sz w:val="20"/>
                <w:szCs w:val="20"/>
              </w:rPr>
            </w:pPr>
            <w:r w:rsidRPr="00C74CFB">
              <w:rPr>
                <w:sz w:val="20"/>
                <w:szCs w:val="20"/>
              </w:rPr>
              <w:t>Source: 20</w:t>
            </w:r>
            <w:r>
              <w:rPr>
                <w:sz w:val="20"/>
                <w:szCs w:val="20"/>
              </w:rPr>
              <w:t>1</w:t>
            </w:r>
            <w:r w:rsidR="000518EE">
              <w:rPr>
                <w:sz w:val="20"/>
                <w:szCs w:val="20"/>
              </w:rPr>
              <w:t>6</w:t>
            </w:r>
            <w:r w:rsidRPr="00C74CFB">
              <w:rPr>
                <w:sz w:val="20"/>
                <w:szCs w:val="20"/>
              </w:rPr>
              <w:t xml:space="preserve"> DEER and PG&amp;E Calculations</w:t>
            </w:r>
          </w:p>
          <w:p w:rsidR="00DF65F8" w:rsidRPr="00403619" w:rsidRDefault="001E170A" w:rsidP="00403619">
            <w:pPr>
              <w:rPr>
                <w:sz w:val="20"/>
                <w:szCs w:val="20"/>
              </w:rPr>
            </w:pPr>
            <w:r>
              <w:rPr>
                <w:sz w:val="20"/>
                <w:szCs w:val="20"/>
              </w:rPr>
              <w:t>66.1</w:t>
            </w:r>
            <w:r w:rsidR="00DF65F8" w:rsidRPr="00403619">
              <w:rPr>
                <w:sz w:val="20"/>
                <w:szCs w:val="20"/>
              </w:rPr>
              <w:t xml:space="preserve"> kWh/</w:t>
            </w:r>
            <w:proofErr w:type="spellStart"/>
            <w:r w:rsidR="00DF65F8" w:rsidRPr="00403619">
              <w:rPr>
                <w:sz w:val="20"/>
                <w:szCs w:val="20"/>
              </w:rPr>
              <w:t>yr</w:t>
            </w:r>
            <w:proofErr w:type="spellEnd"/>
          </w:p>
        </w:tc>
        <w:tc>
          <w:tcPr>
            <w:tcW w:w="2883" w:type="dxa"/>
            <w:tcBorders>
              <w:left w:val="single" w:sz="24" w:space="0" w:color="FFFFFF"/>
            </w:tcBorders>
            <w:shd w:val="pct20" w:color="000000" w:fill="FFFFFF"/>
          </w:tcPr>
          <w:p w:rsidR="00DF65F8" w:rsidRDefault="00DF65F8" w:rsidP="00580F3B">
            <w:pPr>
              <w:rPr>
                <w:sz w:val="20"/>
                <w:szCs w:val="20"/>
              </w:rPr>
            </w:pPr>
            <w:r w:rsidRPr="00C74CFB">
              <w:rPr>
                <w:sz w:val="20"/>
                <w:szCs w:val="20"/>
              </w:rPr>
              <w:t>Source: 20</w:t>
            </w:r>
            <w:r>
              <w:rPr>
                <w:sz w:val="20"/>
                <w:szCs w:val="20"/>
              </w:rPr>
              <w:t>1</w:t>
            </w:r>
            <w:r w:rsidR="000518EE">
              <w:rPr>
                <w:sz w:val="20"/>
                <w:szCs w:val="20"/>
              </w:rPr>
              <w:t>6</w:t>
            </w:r>
            <w:r w:rsidRPr="00C74CFB">
              <w:rPr>
                <w:sz w:val="20"/>
                <w:szCs w:val="20"/>
              </w:rPr>
              <w:t xml:space="preserve"> DEER and PG&amp;E Calculations</w:t>
            </w:r>
          </w:p>
          <w:p w:rsidR="00DF65F8" w:rsidRDefault="000518EE" w:rsidP="000518EE">
            <w:r>
              <w:rPr>
                <w:sz w:val="20"/>
                <w:szCs w:val="20"/>
              </w:rPr>
              <w:t>180</w:t>
            </w:r>
            <w:r w:rsidR="00DF65F8">
              <w:rPr>
                <w:sz w:val="20"/>
                <w:szCs w:val="20"/>
              </w:rPr>
              <w:t xml:space="preserve"> kWh/</w:t>
            </w:r>
            <w:proofErr w:type="spellStart"/>
            <w:r w:rsidR="00DF65F8">
              <w:rPr>
                <w:sz w:val="20"/>
                <w:szCs w:val="20"/>
              </w:rPr>
              <w:t>yr</w:t>
            </w:r>
            <w:proofErr w:type="spellEnd"/>
          </w:p>
        </w:tc>
      </w:tr>
      <w:tr w:rsidR="00DF65F8" w:rsidTr="00382640">
        <w:trPr>
          <w:trHeight w:val="465"/>
        </w:trPr>
        <w:tc>
          <w:tcPr>
            <w:tcW w:w="4161" w:type="dxa"/>
            <w:shd w:val="pct5" w:color="000000" w:fill="FFFFFF"/>
          </w:tcPr>
          <w:p w:rsidR="00DF65F8" w:rsidRDefault="00DF65F8" w:rsidP="00580F3B">
            <w:pPr>
              <w:rPr>
                <w:b/>
              </w:rPr>
            </w:pPr>
            <w:r>
              <w:rPr>
                <w:b/>
              </w:rPr>
              <w:t>Measure Energy Consumption:</w:t>
            </w:r>
          </w:p>
        </w:tc>
        <w:tc>
          <w:tcPr>
            <w:tcW w:w="2604" w:type="dxa"/>
            <w:tcBorders>
              <w:right w:val="single" w:sz="24" w:space="0" w:color="FFFFFF"/>
            </w:tcBorders>
            <w:shd w:val="pct5" w:color="000000" w:fill="FFFFFF"/>
          </w:tcPr>
          <w:p w:rsidR="00DF65F8" w:rsidRDefault="00DF65F8" w:rsidP="00580F3B">
            <w:pPr>
              <w:rPr>
                <w:sz w:val="20"/>
                <w:szCs w:val="20"/>
              </w:rPr>
            </w:pPr>
            <w:r>
              <w:rPr>
                <w:sz w:val="20"/>
                <w:szCs w:val="20"/>
              </w:rPr>
              <w:t xml:space="preserve">Source: </w:t>
            </w:r>
            <w:r w:rsidRPr="00C74CFB">
              <w:rPr>
                <w:sz w:val="20"/>
                <w:szCs w:val="20"/>
              </w:rPr>
              <w:t>20</w:t>
            </w:r>
            <w:r>
              <w:rPr>
                <w:sz w:val="20"/>
                <w:szCs w:val="20"/>
              </w:rPr>
              <w:t>1</w:t>
            </w:r>
            <w:r w:rsidR="000518EE">
              <w:rPr>
                <w:sz w:val="20"/>
                <w:szCs w:val="20"/>
              </w:rPr>
              <w:t>6</w:t>
            </w:r>
            <w:r w:rsidRPr="00C74CFB">
              <w:rPr>
                <w:sz w:val="20"/>
                <w:szCs w:val="20"/>
              </w:rPr>
              <w:t xml:space="preserve"> DEER and PG&amp;E Calculations</w:t>
            </w:r>
          </w:p>
          <w:p w:rsidR="00DF65F8" w:rsidRDefault="00DF65F8" w:rsidP="00580F3B">
            <w:pPr>
              <w:rPr>
                <w:sz w:val="20"/>
                <w:szCs w:val="20"/>
              </w:rPr>
            </w:pPr>
          </w:p>
          <w:p w:rsidR="00DF65F8" w:rsidRDefault="001E170A" w:rsidP="00580F3B">
            <w:pPr>
              <w:rPr>
                <w:sz w:val="20"/>
                <w:szCs w:val="20"/>
              </w:rPr>
            </w:pPr>
            <w:r>
              <w:rPr>
                <w:sz w:val="20"/>
                <w:szCs w:val="20"/>
              </w:rPr>
              <w:t>18.7</w:t>
            </w:r>
            <w:r w:rsidR="00DF65F8">
              <w:rPr>
                <w:sz w:val="20"/>
                <w:szCs w:val="20"/>
              </w:rPr>
              <w:t xml:space="preserve"> kWh/</w:t>
            </w:r>
            <w:proofErr w:type="spellStart"/>
            <w:r w:rsidR="00DF65F8">
              <w:rPr>
                <w:sz w:val="20"/>
                <w:szCs w:val="20"/>
              </w:rPr>
              <w:t>yr</w:t>
            </w:r>
            <w:proofErr w:type="spellEnd"/>
          </w:p>
        </w:tc>
        <w:tc>
          <w:tcPr>
            <w:tcW w:w="2883" w:type="dxa"/>
            <w:tcBorders>
              <w:left w:val="single" w:sz="24" w:space="0" w:color="FFFFFF"/>
            </w:tcBorders>
            <w:shd w:val="pct5" w:color="000000" w:fill="FFFFFF"/>
          </w:tcPr>
          <w:p w:rsidR="00DF65F8" w:rsidRDefault="00DF65F8" w:rsidP="00580F3B">
            <w:pPr>
              <w:rPr>
                <w:sz w:val="20"/>
                <w:szCs w:val="20"/>
              </w:rPr>
            </w:pPr>
            <w:r>
              <w:rPr>
                <w:sz w:val="20"/>
                <w:szCs w:val="20"/>
              </w:rPr>
              <w:t xml:space="preserve">Source: </w:t>
            </w:r>
            <w:r w:rsidRPr="00C74CFB">
              <w:rPr>
                <w:sz w:val="20"/>
                <w:szCs w:val="20"/>
              </w:rPr>
              <w:t>20</w:t>
            </w:r>
            <w:r>
              <w:rPr>
                <w:sz w:val="20"/>
                <w:szCs w:val="20"/>
              </w:rPr>
              <w:t>1</w:t>
            </w:r>
            <w:r w:rsidR="000518EE">
              <w:rPr>
                <w:sz w:val="20"/>
                <w:szCs w:val="20"/>
              </w:rPr>
              <w:t xml:space="preserve">6 </w:t>
            </w:r>
            <w:r w:rsidRPr="00C74CFB">
              <w:rPr>
                <w:sz w:val="20"/>
                <w:szCs w:val="20"/>
              </w:rPr>
              <w:t>DEER and PG&amp;E Calculations</w:t>
            </w:r>
          </w:p>
          <w:p w:rsidR="00DF65F8" w:rsidRDefault="00DF65F8" w:rsidP="00580F3B">
            <w:pPr>
              <w:rPr>
                <w:sz w:val="20"/>
                <w:szCs w:val="20"/>
              </w:rPr>
            </w:pPr>
          </w:p>
          <w:p w:rsidR="00DF65F8" w:rsidRDefault="000518EE" w:rsidP="00580F3B">
            <w:pPr>
              <w:rPr>
                <w:sz w:val="20"/>
                <w:szCs w:val="20"/>
              </w:rPr>
            </w:pPr>
            <w:r>
              <w:rPr>
                <w:sz w:val="20"/>
                <w:szCs w:val="20"/>
              </w:rPr>
              <w:t>50.9</w:t>
            </w:r>
            <w:r w:rsidR="00DF65F8">
              <w:rPr>
                <w:sz w:val="20"/>
                <w:szCs w:val="20"/>
              </w:rPr>
              <w:t xml:space="preserve"> kWh/</w:t>
            </w:r>
            <w:proofErr w:type="spellStart"/>
            <w:r w:rsidR="00DF65F8">
              <w:rPr>
                <w:sz w:val="20"/>
                <w:szCs w:val="20"/>
              </w:rPr>
              <w:t>yr</w:t>
            </w:r>
            <w:proofErr w:type="spellEnd"/>
          </w:p>
        </w:tc>
      </w:tr>
      <w:tr w:rsidR="00DF65F8" w:rsidTr="00382640">
        <w:trPr>
          <w:trHeight w:val="465"/>
        </w:trPr>
        <w:tc>
          <w:tcPr>
            <w:tcW w:w="4161" w:type="dxa"/>
            <w:shd w:val="pct20" w:color="000000" w:fill="FFFFFF"/>
          </w:tcPr>
          <w:p w:rsidR="00DF65F8" w:rsidRDefault="00DF65F8" w:rsidP="00580F3B">
            <w:pPr>
              <w:rPr>
                <w:b/>
              </w:rPr>
            </w:pPr>
            <w:r>
              <w:rPr>
                <w:b/>
              </w:rPr>
              <w:t>Energy Savings (Base Case – Measure)</w:t>
            </w:r>
          </w:p>
        </w:tc>
        <w:tc>
          <w:tcPr>
            <w:tcW w:w="2604" w:type="dxa"/>
            <w:tcBorders>
              <w:right w:val="single" w:sz="24" w:space="0" w:color="FFFFFF"/>
            </w:tcBorders>
            <w:shd w:val="pct20" w:color="000000" w:fill="FFFFFF"/>
          </w:tcPr>
          <w:p w:rsidR="00DF65F8" w:rsidRPr="00403619" w:rsidRDefault="00DF65F8" w:rsidP="00580F3B">
            <w:pPr>
              <w:rPr>
                <w:sz w:val="20"/>
                <w:szCs w:val="20"/>
              </w:rPr>
            </w:pPr>
            <w:r w:rsidRPr="00403619">
              <w:rPr>
                <w:sz w:val="20"/>
                <w:szCs w:val="20"/>
              </w:rPr>
              <w:t xml:space="preserve">Source: </w:t>
            </w:r>
            <w:r w:rsidRPr="00C74CFB">
              <w:rPr>
                <w:sz w:val="20"/>
                <w:szCs w:val="20"/>
              </w:rPr>
              <w:t>20</w:t>
            </w:r>
            <w:r>
              <w:rPr>
                <w:sz w:val="20"/>
                <w:szCs w:val="20"/>
              </w:rPr>
              <w:t>1</w:t>
            </w:r>
            <w:r w:rsidR="000518EE">
              <w:rPr>
                <w:sz w:val="20"/>
                <w:szCs w:val="20"/>
              </w:rPr>
              <w:t>6</w:t>
            </w:r>
            <w:r w:rsidRPr="00C74CFB">
              <w:rPr>
                <w:sz w:val="20"/>
                <w:szCs w:val="20"/>
              </w:rPr>
              <w:t xml:space="preserve"> DEER and PG&amp;E Calculations</w:t>
            </w:r>
          </w:p>
          <w:p w:rsidR="00DF65F8" w:rsidRPr="00403619" w:rsidRDefault="00DF65F8" w:rsidP="00580F3B">
            <w:pPr>
              <w:rPr>
                <w:sz w:val="20"/>
                <w:szCs w:val="20"/>
              </w:rPr>
            </w:pPr>
          </w:p>
          <w:p w:rsidR="00DF65F8" w:rsidRPr="00403619" w:rsidRDefault="001E170A" w:rsidP="00403619">
            <w:pPr>
              <w:rPr>
                <w:sz w:val="20"/>
                <w:szCs w:val="20"/>
              </w:rPr>
            </w:pPr>
            <w:r>
              <w:rPr>
                <w:sz w:val="20"/>
                <w:szCs w:val="20"/>
              </w:rPr>
              <w:t>47.4</w:t>
            </w:r>
            <w:r w:rsidR="00DF65F8" w:rsidRPr="00403619">
              <w:rPr>
                <w:sz w:val="20"/>
                <w:szCs w:val="20"/>
              </w:rPr>
              <w:t xml:space="preserve"> kWh</w:t>
            </w:r>
            <w:r w:rsidR="00DF65F8">
              <w:rPr>
                <w:sz w:val="20"/>
                <w:szCs w:val="20"/>
              </w:rPr>
              <w:t>/</w:t>
            </w:r>
            <w:proofErr w:type="spellStart"/>
            <w:r w:rsidR="00DF65F8">
              <w:rPr>
                <w:sz w:val="20"/>
                <w:szCs w:val="20"/>
              </w:rPr>
              <w:t>yr</w:t>
            </w:r>
            <w:proofErr w:type="spellEnd"/>
          </w:p>
        </w:tc>
        <w:tc>
          <w:tcPr>
            <w:tcW w:w="2883" w:type="dxa"/>
            <w:tcBorders>
              <w:left w:val="single" w:sz="24" w:space="0" w:color="FFFFFF"/>
            </w:tcBorders>
            <w:shd w:val="pct20" w:color="000000" w:fill="FFFFFF"/>
          </w:tcPr>
          <w:p w:rsidR="00DF65F8" w:rsidRPr="00403619" w:rsidRDefault="00DF65F8" w:rsidP="00580F3B">
            <w:pPr>
              <w:rPr>
                <w:sz w:val="20"/>
                <w:szCs w:val="20"/>
              </w:rPr>
            </w:pPr>
            <w:r w:rsidRPr="00403619">
              <w:rPr>
                <w:sz w:val="20"/>
                <w:szCs w:val="20"/>
              </w:rPr>
              <w:t xml:space="preserve">Source: </w:t>
            </w:r>
            <w:r w:rsidRPr="00C74CFB">
              <w:rPr>
                <w:sz w:val="20"/>
                <w:szCs w:val="20"/>
              </w:rPr>
              <w:t>20</w:t>
            </w:r>
            <w:r>
              <w:rPr>
                <w:sz w:val="20"/>
                <w:szCs w:val="20"/>
              </w:rPr>
              <w:t>1</w:t>
            </w:r>
            <w:r w:rsidR="000518EE">
              <w:rPr>
                <w:sz w:val="20"/>
                <w:szCs w:val="20"/>
              </w:rPr>
              <w:t>6</w:t>
            </w:r>
            <w:r w:rsidRPr="00C74CFB">
              <w:rPr>
                <w:sz w:val="20"/>
                <w:szCs w:val="20"/>
              </w:rPr>
              <w:t xml:space="preserve"> DEER and PG&amp;E Calculations</w:t>
            </w:r>
          </w:p>
          <w:p w:rsidR="00DF65F8" w:rsidRDefault="00DF65F8" w:rsidP="00403619">
            <w:pPr>
              <w:jc w:val="center"/>
              <w:rPr>
                <w:sz w:val="20"/>
                <w:szCs w:val="20"/>
              </w:rPr>
            </w:pPr>
          </w:p>
          <w:p w:rsidR="00DF65F8" w:rsidRPr="00403619" w:rsidRDefault="000518EE" w:rsidP="00403619">
            <w:pPr>
              <w:rPr>
                <w:sz w:val="20"/>
                <w:szCs w:val="20"/>
              </w:rPr>
            </w:pPr>
            <w:r>
              <w:rPr>
                <w:sz w:val="20"/>
                <w:szCs w:val="20"/>
              </w:rPr>
              <w:t>129</w:t>
            </w:r>
            <w:r w:rsidR="00DF65F8" w:rsidRPr="00403619">
              <w:rPr>
                <w:sz w:val="20"/>
                <w:szCs w:val="20"/>
              </w:rPr>
              <w:t xml:space="preserve"> kWh/</w:t>
            </w:r>
            <w:proofErr w:type="spellStart"/>
            <w:r w:rsidR="00DF65F8">
              <w:rPr>
                <w:sz w:val="20"/>
                <w:szCs w:val="20"/>
              </w:rPr>
              <w:t>yr</w:t>
            </w:r>
            <w:proofErr w:type="spellEnd"/>
          </w:p>
        </w:tc>
      </w:tr>
      <w:tr w:rsidR="00DF65F8" w:rsidTr="00382640">
        <w:trPr>
          <w:trHeight w:val="465"/>
        </w:trPr>
        <w:tc>
          <w:tcPr>
            <w:tcW w:w="4161" w:type="dxa"/>
            <w:shd w:val="pct5" w:color="000000" w:fill="FFFFFF"/>
          </w:tcPr>
          <w:p w:rsidR="00DF65F8" w:rsidRDefault="00DF65F8" w:rsidP="00580F3B">
            <w:pPr>
              <w:rPr>
                <w:b/>
              </w:rPr>
            </w:pPr>
            <w:r>
              <w:rPr>
                <w:b/>
              </w:rPr>
              <w:t xml:space="preserve">Costs Common Units: </w:t>
            </w:r>
          </w:p>
        </w:tc>
        <w:tc>
          <w:tcPr>
            <w:tcW w:w="5487" w:type="dxa"/>
            <w:gridSpan w:val="2"/>
            <w:shd w:val="pct5" w:color="000000" w:fill="FFFFFF"/>
          </w:tcPr>
          <w:p w:rsidR="00DF65F8" w:rsidRDefault="00DF65F8" w:rsidP="00580F3B">
            <w:pPr>
              <w:rPr>
                <w:sz w:val="20"/>
                <w:szCs w:val="20"/>
              </w:rPr>
            </w:pPr>
            <w:r>
              <w:rPr>
                <w:sz w:val="20"/>
                <w:szCs w:val="20"/>
              </w:rPr>
              <w:t>$ per fixture</w:t>
            </w:r>
          </w:p>
        </w:tc>
      </w:tr>
      <w:tr w:rsidR="00DF65F8" w:rsidTr="00382640">
        <w:trPr>
          <w:trHeight w:val="465"/>
        </w:trPr>
        <w:tc>
          <w:tcPr>
            <w:tcW w:w="4161" w:type="dxa"/>
            <w:shd w:val="pct20" w:color="000000" w:fill="FFFFFF"/>
          </w:tcPr>
          <w:p w:rsidR="00DF65F8" w:rsidRDefault="00DF65F8" w:rsidP="00580F3B">
            <w:pPr>
              <w:rPr>
                <w:b/>
              </w:rPr>
            </w:pPr>
            <w:r>
              <w:rPr>
                <w:b/>
              </w:rPr>
              <w:t>Base Case Equipment Cost ($/unit):</w:t>
            </w:r>
          </w:p>
        </w:tc>
        <w:tc>
          <w:tcPr>
            <w:tcW w:w="5487" w:type="dxa"/>
            <w:gridSpan w:val="2"/>
            <w:shd w:val="pct20" w:color="000000" w:fill="FFFFFF"/>
          </w:tcPr>
          <w:p w:rsidR="00DF65F8" w:rsidRPr="002B52A1" w:rsidRDefault="00DF65F8" w:rsidP="00580F3B">
            <w:pPr>
              <w:rPr>
                <w:sz w:val="20"/>
                <w:szCs w:val="20"/>
              </w:rPr>
            </w:pPr>
            <w:r w:rsidRPr="002B52A1">
              <w:rPr>
                <w:sz w:val="20"/>
                <w:szCs w:val="20"/>
              </w:rPr>
              <w:t xml:space="preserve">Source:  </w:t>
            </w:r>
            <w:r w:rsidR="002B52A1">
              <w:rPr>
                <w:sz w:val="20"/>
                <w:szCs w:val="20"/>
              </w:rPr>
              <w:t xml:space="preserve">Home Depot </w:t>
            </w:r>
            <w:proofErr w:type="spellStart"/>
            <w:r w:rsidR="002B52A1">
              <w:rPr>
                <w:sz w:val="20"/>
                <w:szCs w:val="20"/>
              </w:rPr>
              <w:t>WebScrape</w:t>
            </w:r>
            <w:proofErr w:type="spellEnd"/>
          </w:p>
          <w:p w:rsidR="00DF65F8" w:rsidRPr="002B52A1" w:rsidRDefault="00DF65F8" w:rsidP="002B52A1">
            <w:pPr>
              <w:rPr>
                <w:sz w:val="20"/>
                <w:szCs w:val="20"/>
              </w:rPr>
            </w:pPr>
            <w:r w:rsidRPr="002B52A1">
              <w:rPr>
                <w:bCs/>
                <w:sz w:val="20"/>
                <w:szCs w:val="20"/>
              </w:rPr>
              <w:t>$</w:t>
            </w:r>
            <w:r w:rsidR="002B52A1">
              <w:rPr>
                <w:bCs/>
                <w:sz w:val="20"/>
                <w:szCs w:val="20"/>
              </w:rPr>
              <w:t>38.69</w:t>
            </w:r>
          </w:p>
        </w:tc>
      </w:tr>
      <w:tr w:rsidR="00DF65F8" w:rsidTr="00382640">
        <w:trPr>
          <w:trHeight w:val="465"/>
        </w:trPr>
        <w:tc>
          <w:tcPr>
            <w:tcW w:w="4161" w:type="dxa"/>
            <w:shd w:val="pct5" w:color="000000" w:fill="FFFFFF"/>
          </w:tcPr>
          <w:p w:rsidR="00DF65F8" w:rsidRDefault="00DF65F8" w:rsidP="00580F3B">
            <w:pPr>
              <w:rPr>
                <w:b/>
              </w:rPr>
            </w:pPr>
            <w:r>
              <w:rPr>
                <w:b/>
              </w:rPr>
              <w:t xml:space="preserve">Measure Equipment Cost ($/unit): </w:t>
            </w:r>
          </w:p>
        </w:tc>
        <w:tc>
          <w:tcPr>
            <w:tcW w:w="5487" w:type="dxa"/>
            <w:gridSpan w:val="2"/>
            <w:shd w:val="pct5" w:color="000000" w:fill="FFFFFF"/>
          </w:tcPr>
          <w:p w:rsidR="00DF65F8" w:rsidRPr="002B52A1" w:rsidRDefault="00DF65F8" w:rsidP="00580F3B">
            <w:pPr>
              <w:rPr>
                <w:sz w:val="20"/>
                <w:szCs w:val="20"/>
              </w:rPr>
            </w:pPr>
            <w:r w:rsidRPr="002B52A1">
              <w:rPr>
                <w:sz w:val="20"/>
                <w:szCs w:val="20"/>
              </w:rPr>
              <w:t xml:space="preserve">Source:  </w:t>
            </w:r>
            <w:r w:rsidR="002B52A1">
              <w:rPr>
                <w:sz w:val="20"/>
                <w:szCs w:val="20"/>
              </w:rPr>
              <w:t xml:space="preserve">Home Depot </w:t>
            </w:r>
            <w:proofErr w:type="spellStart"/>
            <w:r w:rsidR="002B52A1">
              <w:rPr>
                <w:sz w:val="20"/>
                <w:szCs w:val="20"/>
              </w:rPr>
              <w:t>WebScrape</w:t>
            </w:r>
            <w:proofErr w:type="spellEnd"/>
          </w:p>
          <w:p w:rsidR="00DF65F8" w:rsidRPr="002B52A1" w:rsidRDefault="00DF65F8" w:rsidP="002B52A1">
            <w:pPr>
              <w:rPr>
                <w:sz w:val="20"/>
                <w:szCs w:val="20"/>
              </w:rPr>
            </w:pPr>
            <w:r w:rsidRPr="002B52A1">
              <w:rPr>
                <w:sz w:val="20"/>
                <w:szCs w:val="20"/>
              </w:rPr>
              <w:t>$</w:t>
            </w:r>
            <w:r w:rsidR="002B52A1">
              <w:rPr>
                <w:sz w:val="20"/>
                <w:szCs w:val="20"/>
              </w:rPr>
              <w:t>45.04</w:t>
            </w:r>
            <w:r w:rsidRPr="002B52A1">
              <w:rPr>
                <w:sz w:val="20"/>
                <w:szCs w:val="20"/>
              </w:rPr>
              <w:t xml:space="preserve">                 </w:t>
            </w:r>
          </w:p>
        </w:tc>
      </w:tr>
      <w:tr w:rsidR="00DF65F8" w:rsidTr="00382640">
        <w:trPr>
          <w:trHeight w:val="23"/>
        </w:trPr>
        <w:tc>
          <w:tcPr>
            <w:tcW w:w="4161" w:type="dxa"/>
            <w:shd w:val="pct20" w:color="000000" w:fill="FFFFFF"/>
          </w:tcPr>
          <w:p w:rsidR="00DF65F8" w:rsidRDefault="00DF65F8" w:rsidP="00580F3B">
            <w:pPr>
              <w:rPr>
                <w:b/>
              </w:rPr>
            </w:pPr>
            <w:bookmarkStart w:id="3" w:name="OLE_LINK1"/>
            <w:r>
              <w:rPr>
                <w:b/>
              </w:rPr>
              <w:t xml:space="preserve">Measure Incremental Cost ($/unit): </w:t>
            </w:r>
            <w:bookmarkEnd w:id="3"/>
          </w:p>
        </w:tc>
        <w:tc>
          <w:tcPr>
            <w:tcW w:w="5487" w:type="dxa"/>
            <w:gridSpan w:val="2"/>
            <w:shd w:val="pct20" w:color="000000" w:fill="FFFFFF"/>
          </w:tcPr>
          <w:p w:rsidR="00DF65F8" w:rsidRPr="002B52A1" w:rsidRDefault="00DF65F8" w:rsidP="00580F3B">
            <w:pPr>
              <w:rPr>
                <w:sz w:val="20"/>
                <w:szCs w:val="20"/>
              </w:rPr>
            </w:pPr>
            <w:r w:rsidRPr="002B52A1">
              <w:rPr>
                <w:sz w:val="20"/>
                <w:szCs w:val="20"/>
              </w:rPr>
              <w:t xml:space="preserve">Source:  </w:t>
            </w:r>
            <w:r w:rsidR="002B52A1">
              <w:rPr>
                <w:sz w:val="20"/>
                <w:szCs w:val="20"/>
              </w:rPr>
              <w:t xml:space="preserve">Home Depot </w:t>
            </w:r>
            <w:proofErr w:type="spellStart"/>
            <w:r w:rsidR="002B52A1">
              <w:rPr>
                <w:sz w:val="20"/>
                <w:szCs w:val="20"/>
              </w:rPr>
              <w:t>WebScrape</w:t>
            </w:r>
            <w:proofErr w:type="spellEnd"/>
          </w:p>
          <w:p w:rsidR="00DF65F8" w:rsidRPr="002B52A1" w:rsidRDefault="00DF65F8" w:rsidP="002B52A1">
            <w:pPr>
              <w:rPr>
                <w:sz w:val="20"/>
                <w:szCs w:val="20"/>
              </w:rPr>
            </w:pPr>
            <w:r w:rsidRPr="002B52A1">
              <w:rPr>
                <w:sz w:val="20"/>
                <w:szCs w:val="20"/>
              </w:rPr>
              <w:t>$</w:t>
            </w:r>
            <w:r w:rsidR="002B52A1">
              <w:rPr>
                <w:sz w:val="20"/>
                <w:szCs w:val="20"/>
              </w:rPr>
              <w:t>6.35</w:t>
            </w:r>
            <w:r w:rsidRPr="002B52A1">
              <w:rPr>
                <w:sz w:val="20"/>
                <w:szCs w:val="20"/>
              </w:rPr>
              <w:t xml:space="preserve">                          </w:t>
            </w:r>
          </w:p>
        </w:tc>
      </w:tr>
      <w:tr w:rsidR="00DF65F8" w:rsidTr="00382640">
        <w:trPr>
          <w:trHeight w:val="465"/>
        </w:trPr>
        <w:tc>
          <w:tcPr>
            <w:tcW w:w="4161" w:type="dxa"/>
            <w:shd w:val="pct5" w:color="000000" w:fill="FFFFFF"/>
          </w:tcPr>
          <w:p w:rsidR="00DF65F8" w:rsidRDefault="00DF65F8" w:rsidP="00580F3B">
            <w:pPr>
              <w:rPr>
                <w:b/>
              </w:rPr>
            </w:pPr>
            <w:r>
              <w:rPr>
                <w:b/>
              </w:rPr>
              <w:t xml:space="preserve">Effective Useful Life (years): </w:t>
            </w:r>
          </w:p>
        </w:tc>
        <w:tc>
          <w:tcPr>
            <w:tcW w:w="5487" w:type="dxa"/>
            <w:gridSpan w:val="2"/>
            <w:shd w:val="pct5" w:color="000000" w:fill="FFFFFF"/>
          </w:tcPr>
          <w:p w:rsidR="00DF65F8" w:rsidRPr="000518EE" w:rsidRDefault="00DF65F8" w:rsidP="00580F3B">
            <w:pPr>
              <w:tabs>
                <w:tab w:val="left" w:pos="1080"/>
              </w:tabs>
              <w:rPr>
                <w:sz w:val="20"/>
                <w:szCs w:val="20"/>
              </w:rPr>
            </w:pPr>
            <w:r w:rsidRPr="000518EE">
              <w:rPr>
                <w:sz w:val="20"/>
                <w:szCs w:val="20"/>
              </w:rPr>
              <w:t>Source: 201</w:t>
            </w:r>
            <w:r w:rsidR="002B52A1">
              <w:rPr>
                <w:sz w:val="20"/>
                <w:szCs w:val="20"/>
              </w:rPr>
              <w:t>6</w:t>
            </w:r>
            <w:r w:rsidRPr="000518EE">
              <w:rPr>
                <w:sz w:val="20"/>
                <w:szCs w:val="20"/>
              </w:rPr>
              <w:t xml:space="preserve"> DEER </w:t>
            </w:r>
          </w:p>
          <w:p w:rsidR="001E170A" w:rsidRDefault="00DF65F8" w:rsidP="002B52A1">
            <w:pPr>
              <w:rPr>
                <w:sz w:val="20"/>
                <w:szCs w:val="20"/>
              </w:rPr>
            </w:pPr>
            <w:r w:rsidRPr="000518EE">
              <w:rPr>
                <w:sz w:val="20"/>
                <w:szCs w:val="20"/>
              </w:rPr>
              <w:t>16 Years</w:t>
            </w:r>
            <w:r w:rsidR="002B52A1">
              <w:rPr>
                <w:sz w:val="20"/>
                <w:szCs w:val="20"/>
              </w:rPr>
              <w:t xml:space="preserve">, </w:t>
            </w:r>
            <w:proofErr w:type="spellStart"/>
            <w:r w:rsidR="001E170A">
              <w:rPr>
                <w:sz w:val="20"/>
                <w:szCs w:val="20"/>
              </w:rPr>
              <w:t>OLtg-CFLfix</w:t>
            </w:r>
            <w:proofErr w:type="spellEnd"/>
          </w:p>
          <w:p w:rsidR="002B52A1" w:rsidRPr="000518EE" w:rsidRDefault="002B52A1" w:rsidP="002B52A1">
            <w:pPr>
              <w:rPr>
                <w:sz w:val="20"/>
                <w:szCs w:val="20"/>
              </w:rPr>
            </w:pPr>
            <w:r>
              <w:rPr>
                <w:sz w:val="20"/>
                <w:szCs w:val="20"/>
              </w:rPr>
              <w:t xml:space="preserve">15 Years, </w:t>
            </w:r>
            <w:proofErr w:type="spellStart"/>
            <w:r w:rsidRPr="00A1452E">
              <w:rPr>
                <w:color w:val="000000"/>
                <w:sz w:val="20"/>
                <w:szCs w:val="20"/>
              </w:rPr>
              <w:t>OLtg-CFLfix-ResCmnArea</w:t>
            </w:r>
            <w:proofErr w:type="spellEnd"/>
          </w:p>
        </w:tc>
      </w:tr>
      <w:tr w:rsidR="00DF65F8" w:rsidTr="00382640">
        <w:trPr>
          <w:trHeight w:val="465"/>
        </w:trPr>
        <w:tc>
          <w:tcPr>
            <w:tcW w:w="4161" w:type="dxa"/>
            <w:shd w:val="pct20" w:color="000000" w:fill="FFFFFF"/>
          </w:tcPr>
          <w:p w:rsidR="00DF65F8" w:rsidRDefault="00DF65F8" w:rsidP="00580F3B">
            <w:pPr>
              <w:rPr>
                <w:b/>
              </w:rPr>
            </w:pPr>
            <w:r>
              <w:rPr>
                <w:b/>
              </w:rPr>
              <w:t>Program Type:</w:t>
            </w:r>
          </w:p>
        </w:tc>
        <w:tc>
          <w:tcPr>
            <w:tcW w:w="5487" w:type="dxa"/>
            <w:gridSpan w:val="2"/>
            <w:shd w:val="pct20" w:color="000000" w:fill="FFFFFF"/>
          </w:tcPr>
          <w:p w:rsidR="00DF65F8" w:rsidRPr="000518EE" w:rsidRDefault="00DF65F8" w:rsidP="00580F3B">
            <w:pPr>
              <w:rPr>
                <w:sz w:val="20"/>
                <w:szCs w:val="20"/>
              </w:rPr>
            </w:pPr>
            <w:r w:rsidRPr="000518EE">
              <w:rPr>
                <w:sz w:val="20"/>
                <w:szCs w:val="20"/>
              </w:rPr>
              <w:t>Replace on Burnout</w:t>
            </w:r>
            <w:r w:rsidR="000518EE" w:rsidRPr="000518EE">
              <w:rPr>
                <w:sz w:val="20"/>
                <w:szCs w:val="20"/>
              </w:rPr>
              <w:t xml:space="preserve"> (ROB)</w:t>
            </w:r>
          </w:p>
        </w:tc>
      </w:tr>
      <w:tr w:rsidR="00DF65F8" w:rsidTr="00382640">
        <w:trPr>
          <w:trHeight w:val="465"/>
        </w:trPr>
        <w:tc>
          <w:tcPr>
            <w:tcW w:w="4161" w:type="dxa"/>
            <w:shd w:val="pct20" w:color="000000" w:fill="FFFFFF"/>
          </w:tcPr>
          <w:p w:rsidR="00DF65F8" w:rsidRDefault="00DF65F8" w:rsidP="00580F3B">
            <w:pPr>
              <w:rPr>
                <w:b/>
              </w:rPr>
            </w:pPr>
            <w:r>
              <w:rPr>
                <w:b/>
              </w:rPr>
              <w:t>Net-to-Gross Ratios:</w:t>
            </w:r>
          </w:p>
        </w:tc>
        <w:tc>
          <w:tcPr>
            <w:tcW w:w="5487" w:type="dxa"/>
            <w:gridSpan w:val="2"/>
            <w:shd w:val="pct20" w:color="000000" w:fill="FFFFFF"/>
          </w:tcPr>
          <w:p w:rsidR="00DF65F8" w:rsidRPr="000518EE" w:rsidRDefault="00DF65F8" w:rsidP="00580F3B">
            <w:pPr>
              <w:rPr>
                <w:sz w:val="20"/>
                <w:szCs w:val="20"/>
              </w:rPr>
            </w:pPr>
            <w:r w:rsidRPr="000518EE">
              <w:rPr>
                <w:sz w:val="20"/>
                <w:szCs w:val="20"/>
              </w:rPr>
              <w:t>Source:  201</w:t>
            </w:r>
            <w:r w:rsidR="000518EE" w:rsidRPr="000518EE">
              <w:rPr>
                <w:sz w:val="20"/>
                <w:szCs w:val="20"/>
              </w:rPr>
              <w:t xml:space="preserve">4 </w:t>
            </w:r>
            <w:r w:rsidRPr="000518EE">
              <w:rPr>
                <w:sz w:val="20"/>
                <w:szCs w:val="20"/>
              </w:rPr>
              <w:t>DEER</w:t>
            </w:r>
          </w:p>
          <w:p w:rsidR="00DF65F8" w:rsidRPr="000518EE" w:rsidRDefault="00DF65F8" w:rsidP="000518EE">
            <w:pPr>
              <w:rPr>
                <w:color w:val="000000"/>
                <w:sz w:val="20"/>
                <w:szCs w:val="20"/>
              </w:rPr>
            </w:pPr>
            <w:r w:rsidRPr="000518EE">
              <w:rPr>
                <w:sz w:val="20"/>
                <w:szCs w:val="20"/>
              </w:rPr>
              <w:t xml:space="preserve">0.55, </w:t>
            </w:r>
            <w:r w:rsidRPr="000518EE">
              <w:rPr>
                <w:color w:val="000000"/>
                <w:sz w:val="20"/>
                <w:szCs w:val="20"/>
              </w:rPr>
              <w:t>Res-Default&gt;2</w:t>
            </w:r>
          </w:p>
        </w:tc>
      </w:tr>
      <w:tr w:rsidR="00DF65F8" w:rsidTr="00382640">
        <w:trPr>
          <w:trHeight w:val="465"/>
        </w:trPr>
        <w:tc>
          <w:tcPr>
            <w:tcW w:w="4161" w:type="dxa"/>
            <w:tcBorders>
              <w:top w:val="single" w:sz="18" w:space="0" w:color="FFFFFF"/>
              <w:right w:val="single" w:sz="18" w:space="0" w:color="FFFFFF"/>
            </w:tcBorders>
            <w:shd w:val="pct20" w:color="000000" w:fill="FFFFFF"/>
          </w:tcPr>
          <w:p w:rsidR="00DF65F8" w:rsidRDefault="00DF65F8" w:rsidP="00580F3B">
            <w:pPr>
              <w:rPr>
                <w:b/>
              </w:rPr>
            </w:pPr>
            <w:r>
              <w:rPr>
                <w:b/>
              </w:rPr>
              <w:t xml:space="preserve">Comments: </w:t>
            </w:r>
          </w:p>
          <w:p w:rsidR="00DF65F8" w:rsidRDefault="00DF65F8" w:rsidP="00580F3B">
            <w:pPr>
              <w:rPr>
                <w:b/>
              </w:rPr>
            </w:pPr>
          </w:p>
          <w:p w:rsidR="00DF65F8" w:rsidRDefault="00DF65F8" w:rsidP="00580F3B">
            <w:pPr>
              <w:rPr>
                <w:b/>
              </w:rPr>
            </w:pPr>
          </w:p>
          <w:p w:rsidR="00DF65F8" w:rsidRDefault="00DF65F8" w:rsidP="00580F3B">
            <w:pPr>
              <w:rPr>
                <w:b/>
              </w:rPr>
            </w:pPr>
          </w:p>
        </w:tc>
        <w:tc>
          <w:tcPr>
            <w:tcW w:w="5487" w:type="dxa"/>
            <w:gridSpan w:val="2"/>
            <w:tcBorders>
              <w:top w:val="single" w:sz="18" w:space="0" w:color="FFFFFF"/>
              <w:left w:val="single" w:sz="18" w:space="0" w:color="FFFFFF"/>
            </w:tcBorders>
            <w:shd w:val="pct20" w:color="000000" w:fill="FFFFFF"/>
          </w:tcPr>
          <w:p w:rsidR="00DF65F8" w:rsidRDefault="00DF65F8" w:rsidP="007C0A10">
            <w:pPr>
              <w:rPr>
                <w:sz w:val="20"/>
                <w:szCs w:val="20"/>
              </w:rPr>
            </w:pPr>
          </w:p>
        </w:tc>
      </w:tr>
    </w:tbl>
    <w:p w:rsidR="00054F7F" w:rsidRDefault="00054F7F" w:rsidP="00580F3B">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rFonts w:ascii="Arial" w:hAnsi="Arial" w:cs="Arial"/>
          <w:b/>
          <w:bCs/>
          <w:sz w:val="32"/>
          <w:szCs w:val="32"/>
        </w:rPr>
        <w:sectPr w:rsidR="00054F7F">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code="1"/>
          <w:pgMar w:top="1440" w:right="1440" w:bottom="1440" w:left="1440" w:header="720" w:footer="720" w:gutter="0"/>
          <w:pgNumType w:fmt="lowerRoman"/>
          <w:cols w:space="720"/>
          <w:docGrid w:linePitch="360"/>
        </w:sectPr>
      </w:pPr>
    </w:p>
    <w:p w:rsidR="00FF1EC7" w:rsidRDefault="00A633D7" w:rsidP="00580F3B">
      <w:pPr>
        <w:pStyle w:val="Heading1"/>
      </w:pPr>
      <w:r>
        <w:lastRenderedPageBreak/>
        <w:br w:type="page"/>
      </w:r>
      <w:bookmarkStart w:id="4" w:name="_Toc436750790"/>
      <w:r w:rsidR="00FF1EC7">
        <w:lastRenderedPageBreak/>
        <w:t>Document Revision History</w:t>
      </w:r>
      <w:bookmarkEnd w:id="4"/>
    </w:p>
    <w:p w:rsidR="00FF1EC7" w:rsidRDefault="00FF1EC7" w:rsidP="00580F3B">
      <w:r>
        <w:t xml:space="preserve">     Revision # </w:t>
      </w:r>
      <w:r>
        <w:tab/>
      </w:r>
      <w:r>
        <w:tab/>
        <w:t xml:space="preserve">Date </w:t>
      </w:r>
      <w:r>
        <w:tab/>
      </w:r>
      <w:r>
        <w:tab/>
        <w:t xml:space="preserve">         Description</w:t>
      </w:r>
      <w:r>
        <w:tab/>
      </w:r>
      <w: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689"/>
        <w:gridCol w:w="2719"/>
      </w:tblGrid>
      <w:tr w:rsidR="00FF1EC7" w:rsidTr="00EF5123">
        <w:trPr>
          <w:trHeight w:val="464"/>
        </w:trPr>
        <w:tc>
          <w:tcPr>
            <w:tcW w:w="870" w:type="pct"/>
            <w:shd w:val="pct20" w:color="000000" w:fill="FFFFFF"/>
          </w:tcPr>
          <w:p w:rsidR="00FF1EC7" w:rsidRDefault="00FF1EC7" w:rsidP="00580F3B">
            <w:r>
              <w:t>Superseded</w:t>
            </w:r>
          </w:p>
        </w:tc>
        <w:tc>
          <w:tcPr>
            <w:tcW w:w="746" w:type="pct"/>
            <w:shd w:val="pct20" w:color="000000" w:fill="FFFFFF"/>
          </w:tcPr>
          <w:p w:rsidR="00FF1EC7" w:rsidRDefault="00FF1EC7" w:rsidP="00580F3B">
            <w:pPr>
              <w:rPr>
                <w:sz w:val="20"/>
                <w:szCs w:val="20"/>
              </w:rPr>
            </w:pPr>
            <w:r>
              <w:rPr>
                <w:sz w:val="20"/>
                <w:szCs w:val="20"/>
              </w:rPr>
              <w:t>02/28/06</w:t>
            </w:r>
          </w:p>
        </w:tc>
        <w:tc>
          <w:tcPr>
            <w:tcW w:w="1948" w:type="pct"/>
            <w:shd w:val="pct20" w:color="000000" w:fill="FFFFFF"/>
          </w:tcPr>
          <w:p w:rsidR="00FF1EC7" w:rsidRDefault="008F5ADD" w:rsidP="00580F3B">
            <w:pPr>
              <w:rPr>
                <w:sz w:val="20"/>
                <w:szCs w:val="20"/>
              </w:rPr>
            </w:pPr>
            <w:r w:rsidRPr="008F5ADD">
              <w:rPr>
                <w:sz w:val="20"/>
                <w:szCs w:val="20"/>
              </w:rPr>
              <w:t>Energy Star Exterior CF Fixture</w:t>
            </w:r>
            <w:r w:rsidR="00FF1EC7">
              <w:rPr>
                <w:sz w:val="20"/>
                <w:szCs w:val="20"/>
              </w:rPr>
              <w:t xml:space="preserve">.doc </w:t>
            </w:r>
          </w:p>
        </w:tc>
        <w:tc>
          <w:tcPr>
            <w:tcW w:w="1436" w:type="pct"/>
            <w:shd w:val="pct20" w:color="000000" w:fill="FFFFFF"/>
          </w:tcPr>
          <w:p w:rsidR="00FF1EC7" w:rsidRDefault="00384B7C" w:rsidP="00580F3B">
            <w:pPr>
              <w:rPr>
                <w:bCs/>
                <w:sz w:val="20"/>
                <w:szCs w:val="20"/>
              </w:rPr>
            </w:pPr>
            <w:r>
              <w:rPr>
                <w:bCs/>
                <w:sz w:val="20"/>
                <w:szCs w:val="20"/>
              </w:rPr>
              <w:t xml:space="preserve">Helen </w:t>
            </w:r>
            <w:proofErr w:type="spellStart"/>
            <w:r>
              <w:rPr>
                <w:bCs/>
                <w:sz w:val="20"/>
                <w:szCs w:val="20"/>
              </w:rPr>
              <w:t>Fisicaro</w:t>
            </w:r>
            <w:proofErr w:type="spellEnd"/>
            <w:r>
              <w:rPr>
                <w:bCs/>
                <w:sz w:val="20"/>
                <w:szCs w:val="20"/>
              </w:rPr>
              <w:t xml:space="preserve"> (</w:t>
            </w:r>
            <w:r w:rsidR="00FF1EC7">
              <w:rPr>
                <w:bCs/>
                <w:sz w:val="20"/>
                <w:szCs w:val="20"/>
              </w:rPr>
              <w:t>PG&amp;E</w:t>
            </w:r>
            <w:r>
              <w:rPr>
                <w:bCs/>
                <w:sz w:val="20"/>
                <w:szCs w:val="20"/>
              </w:rPr>
              <w:t>)</w:t>
            </w:r>
          </w:p>
        </w:tc>
      </w:tr>
      <w:tr w:rsidR="00FF1EC7" w:rsidTr="00EF5123">
        <w:trPr>
          <w:trHeight w:val="464"/>
        </w:trPr>
        <w:tc>
          <w:tcPr>
            <w:tcW w:w="870" w:type="pct"/>
            <w:shd w:val="pct5" w:color="000000" w:fill="FFFFFF"/>
          </w:tcPr>
          <w:p w:rsidR="00FF1EC7" w:rsidRDefault="00FF1EC7" w:rsidP="00580F3B">
            <w:r>
              <w:t>Revision 0</w:t>
            </w:r>
          </w:p>
        </w:tc>
        <w:tc>
          <w:tcPr>
            <w:tcW w:w="746" w:type="pct"/>
            <w:shd w:val="pct5" w:color="000000" w:fill="FFFFFF"/>
          </w:tcPr>
          <w:p w:rsidR="00FF1EC7" w:rsidRDefault="00FF1EC7" w:rsidP="00580F3B">
            <w:pPr>
              <w:rPr>
                <w:sz w:val="20"/>
                <w:szCs w:val="20"/>
                <w:highlight w:val="yellow"/>
              </w:rPr>
            </w:pPr>
            <w:r>
              <w:rPr>
                <w:sz w:val="20"/>
                <w:szCs w:val="20"/>
              </w:rPr>
              <w:t>02/28/08</w:t>
            </w:r>
          </w:p>
        </w:tc>
        <w:tc>
          <w:tcPr>
            <w:tcW w:w="1948" w:type="pct"/>
            <w:shd w:val="pct5" w:color="000000" w:fill="FFFFFF"/>
          </w:tcPr>
          <w:p w:rsidR="00FF1EC7" w:rsidRDefault="00FF1EC7" w:rsidP="00580F3B">
            <w:pPr>
              <w:rPr>
                <w:sz w:val="20"/>
                <w:szCs w:val="20"/>
              </w:rPr>
            </w:pPr>
            <w:r>
              <w:rPr>
                <w:sz w:val="20"/>
                <w:szCs w:val="20"/>
              </w:rPr>
              <w:t>Energy Star Exterior CF Fixture PGECOLTG109 R0.doc</w:t>
            </w:r>
          </w:p>
        </w:tc>
        <w:tc>
          <w:tcPr>
            <w:tcW w:w="1436" w:type="pct"/>
            <w:shd w:val="pct5" w:color="000000" w:fill="FFFFFF"/>
          </w:tcPr>
          <w:p w:rsidR="00FF1EC7" w:rsidRDefault="00FF1EC7" w:rsidP="00580F3B">
            <w:pPr>
              <w:rPr>
                <w:bCs/>
                <w:sz w:val="20"/>
                <w:szCs w:val="20"/>
              </w:rPr>
            </w:pPr>
            <w:proofErr w:type="spellStart"/>
            <w:r>
              <w:rPr>
                <w:bCs/>
                <w:sz w:val="20"/>
                <w:szCs w:val="20"/>
              </w:rPr>
              <w:t>Tawni</w:t>
            </w:r>
            <w:proofErr w:type="spellEnd"/>
            <w:r>
              <w:rPr>
                <w:bCs/>
                <w:sz w:val="20"/>
                <w:szCs w:val="20"/>
              </w:rPr>
              <w:t xml:space="preserve"> Tidwell (HDR)</w:t>
            </w:r>
          </w:p>
        </w:tc>
      </w:tr>
      <w:tr w:rsidR="00054F7F" w:rsidTr="00EF5123">
        <w:trPr>
          <w:trHeight w:val="464"/>
        </w:trPr>
        <w:tc>
          <w:tcPr>
            <w:tcW w:w="870" w:type="pct"/>
            <w:shd w:val="pct20" w:color="000000" w:fill="FFFFFF"/>
          </w:tcPr>
          <w:p w:rsidR="00054F7F" w:rsidRDefault="00054F7F" w:rsidP="00580F3B">
            <w:r>
              <w:t>Revision 1</w:t>
            </w:r>
          </w:p>
        </w:tc>
        <w:tc>
          <w:tcPr>
            <w:tcW w:w="746" w:type="pct"/>
            <w:shd w:val="pct20" w:color="000000" w:fill="FFFFFF"/>
          </w:tcPr>
          <w:p w:rsidR="00054F7F" w:rsidRDefault="00BD4801" w:rsidP="00580F3B">
            <w:pPr>
              <w:rPr>
                <w:sz w:val="20"/>
                <w:szCs w:val="20"/>
                <w:highlight w:val="yellow"/>
              </w:rPr>
            </w:pPr>
            <w:r>
              <w:rPr>
                <w:sz w:val="20"/>
                <w:szCs w:val="20"/>
              </w:rPr>
              <w:t>08/03</w:t>
            </w:r>
            <w:r w:rsidR="00054F7F">
              <w:rPr>
                <w:sz w:val="20"/>
                <w:szCs w:val="20"/>
              </w:rPr>
              <w:t>/09</w:t>
            </w:r>
          </w:p>
        </w:tc>
        <w:tc>
          <w:tcPr>
            <w:tcW w:w="1948" w:type="pct"/>
            <w:shd w:val="pct20" w:color="000000" w:fill="FFFFFF"/>
          </w:tcPr>
          <w:p w:rsidR="00054F7F" w:rsidRDefault="00054F7F" w:rsidP="00580F3B">
            <w:pPr>
              <w:rPr>
                <w:sz w:val="20"/>
                <w:szCs w:val="20"/>
              </w:rPr>
            </w:pPr>
            <w:r>
              <w:rPr>
                <w:sz w:val="20"/>
                <w:szCs w:val="20"/>
              </w:rPr>
              <w:t>Energy Star Exterior CF Fixture PGECOLTG109 R1.doc</w:t>
            </w:r>
          </w:p>
        </w:tc>
        <w:tc>
          <w:tcPr>
            <w:tcW w:w="1436" w:type="pct"/>
            <w:shd w:val="pct20" w:color="000000" w:fill="FFFFFF"/>
          </w:tcPr>
          <w:p w:rsidR="00054F7F" w:rsidRDefault="00054F7F" w:rsidP="00580F3B">
            <w:pPr>
              <w:rPr>
                <w:bCs/>
                <w:sz w:val="20"/>
                <w:szCs w:val="20"/>
              </w:rPr>
            </w:pPr>
            <w:r>
              <w:rPr>
                <w:bCs/>
                <w:sz w:val="20"/>
                <w:szCs w:val="20"/>
              </w:rPr>
              <w:t xml:space="preserve">Jenny </w:t>
            </w:r>
            <w:proofErr w:type="spellStart"/>
            <w:r>
              <w:rPr>
                <w:bCs/>
                <w:sz w:val="20"/>
                <w:szCs w:val="20"/>
              </w:rPr>
              <w:t>Roecks</w:t>
            </w:r>
            <w:proofErr w:type="spellEnd"/>
            <w:r>
              <w:rPr>
                <w:bCs/>
                <w:sz w:val="20"/>
                <w:szCs w:val="20"/>
              </w:rPr>
              <w:t xml:space="preserve"> (PG&amp;E)</w:t>
            </w:r>
          </w:p>
        </w:tc>
      </w:tr>
      <w:tr w:rsidR="003E22D9" w:rsidTr="00EF5123">
        <w:trPr>
          <w:trHeight w:val="464"/>
        </w:trPr>
        <w:tc>
          <w:tcPr>
            <w:tcW w:w="870" w:type="pct"/>
            <w:tcBorders>
              <w:bottom w:val="single" w:sz="18" w:space="0" w:color="FFFFFF"/>
            </w:tcBorders>
            <w:shd w:val="pct5" w:color="000000" w:fill="FFFFFF"/>
          </w:tcPr>
          <w:p w:rsidR="003E22D9" w:rsidRDefault="003E22D9" w:rsidP="004641BF">
            <w:r>
              <w:t>Revision 2</w:t>
            </w:r>
          </w:p>
        </w:tc>
        <w:tc>
          <w:tcPr>
            <w:tcW w:w="746" w:type="pct"/>
            <w:tcBorders>
              <w:bottom w:val="single" w:sz="18" w:space="0" w:color="FFFFFF"/>
            </w:tcBorders>
            <w:shd w:val="pct5" w:color="000000" w:fill="FFFFFF"/>
          </w:tcPr>
          <w:p w:rsidR="003E22D9" w:rsidRDefault="003E22D9" w:rsidP="004641BF">
            <w:pPr>
              <w:rPr>
                <w:sz w:val="20"/>
                <w:szCs w:val="20"/>
                <w:highlight w:val="yellow"/>
              </w:rPr>
            </w:pPr>
            <w:r>
              <w:rPr>
                <w:sz w:val="20"/>
                <w:szCs w:val="20"/>
              </w:rPr>
              <w:t>03/24/10</w:t>
            </w:r>
          </w:p>
        </w:tc>
        <w:tc>
          <w:tcPr>
            <w:tcW w:w="1948" w:type="pct"/>
            <w:tcBorders>
              <w:bottom w:val="single" w:sz="18" w:space="0" w:color="FFFFFF"/>
            </w:tcBorders>
            <w:shd w:val="pct5" w:color="000000" w:fill="FFFFFF"/>
          </w:tcPr>
          <w:p w:rsidR="003E22D9" w:rsidRDefault="003E22D9" w:rsidP="004641BF">
            <w:pPr>
              <w:rPr>
                <w:sz w:val="20"/>
                <w:szCs w:val="20"/>
              </w:rPr>
            </w:pPr>
            <w:r>
              <w:rPr>
                <w:sz w:val="20"/>
                <w:szCs w:val="20"/>
              </w:rPr>
              <w:t>Energy Star Exterior CF Fixture PGECOLTG109 R2.doc</w:t>
            </w:r>
          </w:p>
        </w:tc>
        <w:tc>
          <w:tcPr>
            <w:tcW w:w="1436" w:type="pct"/>
            <w:tcBorders>
              <w:bottom w:val="single" w:sz="18" w:space="0" w:color="FFFFFF"/>
            </w:tcBorders>
            <w:shd w:val="pct5" w:color="000000" w:fill="FFFFFF"/>
          </w:tcPr>
          <w:p w:rsidR="003E22D9" w:rsidRDefault="003E22D9" w:rsidP="004641BF">
            <w:pPr>
              <w:rPr>
                <w:bCs/>
                <w:sz w:val="20"/>
                <w:szCs w:val="20"/>
              </w:rPr>
            </w:pPr>
            <w:r>
              <w:rPr>
                <w:bCs/>
                <w:sz w:val="20"/>
                <w:szCs w:val="20"/>
              </w:rPr>
              <w:t xml:space="preserve">Jenny </w:t>
            </w:r>
            <w:proofErr w:type="spellStart"/>
            <w:r>
              <w:rPr>
                <w:bCs/>
                <w:sz w:val="20"/>
                <w:szCs w:val="20"/>
              </w:rPr>
              <w:t>Roecks</w:t>
            </w:r>
            <w:proofErr w:type="spellEnd"/>
            <w:r>
              <w:rPr>
                <w:bCs/>
                <w:sz w:val="20"/>
                <w:szCs w:val="20"/>
              </w:rPr>
              <w:t xml:space="preserve"> (PG&amp;E)</w:t>
            </w:r>
          </w:p>
        </w:tc>
      </w:tr>
      <w:tr w:rsidR="002F59C5" w:rsidTr="00EF5123">
        <w:trPr>
          <w:trHeight w:val="464"/>
        </w:trPr>
        <w:tc>
          <w:tcPr>
            <w:tcW w:w="870" w:type="pct"/>
            <w:tcBorders>
              <w:top w:val="single" w:sz="18" w:space="0" w:color="FFFFFF"/>
              <w:bottom w:val="single" w:sz="18" w:space="0" w:color="FFFFFF"/>
            </w:tcBorders>
            <w:shd w:val="pct25" w:color="000000" w:fill="FFFFFF"/>
          </w:tcPr>
          <w:p w:rsidR="002F59C5" w:rsidRDefault="002F59C5" w:rsidP="00CC4402">
            <w:r>
              <w:t>Revision 3</w:t>
            </w:r>
          </w:p>
        </w:tc>
        <w:tc>
          <w:tcPr>
            <w:tcW w:w="746" w:type="pct"/>
            <w:tcBorders>
              <w:top w:val="single" w:sz="18" w:space="0" w:color="FFFFFF"/>
              <w:bottom w:val="single" w:sz="18" w:space="0" w:color="FFFFFF"/>
            </w:tcBorders>
            <w:shd w:val="pct25" w:color="000000" w:fill="FFFFFF"/>
          </w:tcPr>
          <w:p w:rsidR="002F59C5" w:rsidRDefault="002F59C5" w:rsidP="00CC4402">
            <w:pPr>
              <w:rPr>
                <w:sz w:val="20"/>
                <w:szCs w:val="20"/>
                <w:highlight w:val="yellow"/>
              </w:rPr>
            </w:pPr>
            <w:r>
              <w:rPr>
                <w:sz w:val="20"/>
                <w:szCs w:val="20"/>
              </w:rPr>
              <w:t>6/19/12</w:t>
            </w:r>
          </w:p>
        </w:tc>
        <w:tc>
          <w:tcPr>
            <w:tcW w:w="1948" w:type="pct"/>
            <w:tcBorders>
              <w:top w:val="single" w:sz="18" w:space="0" w:color="FFFFFF"/>
              <w:bottom w:val="single" w:sz="18" w:space="0" w:color="FFFFFF"/>
            </w:tcBorders>
            <w:shd w:val="pct25" w:color="000000" w:fill="FFFFFF"/>
          </w:tcPr>
          <w:p w:rsidR="002F59C5" w:rsidRDefault="002F59C5" w:rsidP="002F59C5">
            <w:pPr>
              <w:rPr>
                <w:sz w:val="20"/>
                <w:szCs w:val="20"/>
              </w:rPr>
            </w:pPr>
            <w:r>
              <w:rPr>
                <w:sz w:val="20"/>
                <w:szCs w:val="20"/>
              </w:rPr>
              <w:t>Energy Star Exterior CF Fixture PGECOLTG109 R3.doc</w:t>
            </w:r>
          </w:p>
          <w:p w:rsidR="00F75566" w:rsidRDefault="00F75566" w:rsidP="002F59C5">
            <w:pPr>
              <w:rPr>
                <w:sz w:val="20"/>
                <w:szCs w:val="20"/>
              </w:rPr>
            </w:pPr>
          </w:p>
          <w:p w:rsidR="00F75566" w:rsidRDefault="00F75566" w:rsidP="002F59C5">
            <w:pPr>
              <w:rPr>
                <w:sz w:val="20"/>
                <w:szCs w:val="20"/>
              </w:rPr>
            </w:pPr>
            <w:r>
              <w:rPr>
                <w:sz w:val="20"/>
                <w:szCs w:val="20"/>
              </w:rPr>
              <w:t>NTG updated to 2013 DEER, wattage reduction ratio updated to 2011 DEER, cost updated for new measure case wattage.  Cost changed to ROB.</w:t>
            </w:r>
          </w:p>
        </w:tc>
        <w:tc>
          <w:tcPr>
            <w:tcW w:w="1436" w:type="pct"/>
            <w:tcBorders>
              <w:top w:val="single" w:sz="18" w:space="0" w:color="FFFFFF"/>
              <w:bottom w:val="single" w:sz="18" w:space="0" w:color="FFFFFF"/>
            </w:tcBorders>
            <w:shd w:val="pct25" w:color="000000" w:fill="FFFFFF"/>
          </w:tcPr>
          <w:p w:rsidR="002F59C5" w:rsidRDefault="002F59C5" w:rsidP="00CC4402">
            <w:pPr>
              <w:rPr>
                <w:bCs/>
                <w:sz w:val="20"/>
                <w:szCs w:val="20"/>
              </w:rPr>
            </w:pPr>
            <w:r>
              <w:rPr>
                <w:bCs/>
                <w:sz w:val="20"/>
                <w:szCs w:val="20"/>
              </w:rPr>
              <w:t xml:space="preserve">Jenny </w:t>
            </w:r>
            <w:proofErr w:type="spellStart"/>
            <w:r>
              <w:rPr>
                <w:bCs/>
                <w:sz w:val="20"/>
                <w:szCs w:val="20"/>
              </w:rPr>
              <w:t>Roecks</w:t>
            </w:r>
            <w:proofErr w:type="spellEnd"/>
            <w:r>
              <w:rPr>
                <w:bCs/>
                <w:sz w:val="20"/>
                <w:szCs w:val="20"/>
              </w:rPr>
              <w:t xml:space="preserve"> (PG&amp;E)</w:t>
            </w:r>
            <w:r w:rsidR="000D2CEB">
              <w:rPr>
                <w:bCs/>
                <w:sz w:val="20"/>
                <w:szCs w:val="20"/>
              </w:rPr>
              <w:t xml:space="preserve">, </w:t>
            </w:r>
          </w:p>
          <w:p w:rsidR="000D2CEB" w:rsidRDefault="000D2CEB" w:rsidP="00CC4402">
            <w:pPr>
              <w:rPr>
                <w:bCs/>
                <w:sz w:val="20"/>
                <w:szCs w:val="20"/>
              </w:rPr>
            </w:pPr>
            <w:r>
              <w:rPr>
                <w:bCs/>
                <w:sz w:val="20"/>
                <w:szCs w:val="20"/>
              </w:rPr>
              <w:t xml:space="preserve">Reviewed by Alina </w:t>
            </w:r>
            <w:proofErr w:type="spellStart"/>
            <w:r>
              <w:rPr>
                <w:bCs/>
                <w:sz w:val="20"/>
                <w:szCs w:val="20"/>
              </w:rPr>
              <w:t>Zohrabian</w:t>
            </w:r>
            <w:proofErr w:type="spellEnd"/>
          </w:p>
        </w:tc>
      </w:tr>
      <w:tr w:rsidR="00FF1EC7" w:rsidTr="00EF5123">
        <w:trPr>
          <w:trHeight w:val="464"/>
        </w:trPr>
        <w:tc>
          <w:tcPr>
            <w:tcW w:w="870" w:type="pct"/>
            <w:tcBorders>
              <w:top w:val="single" w:sz="18" w:space="0" w:color="FFFFFF"/>
            </w:tcBorders>
            <w:shd w:val="pct5" w:color="000000" w:fill="FFFFFF"/>
          </w:tcPr>
          <w:p w:rsidR="00FF1EC7" w:rsidRDefault="007F28F4" w:rsidP="00580F3B">
            <w:pPr>
              <w:rPr>
                <w:b/>
              </w:rPr>
            </w:pPr>
            <w:r>
              <w:t>Revision 3</w:t>
            </w:r>
          </w:p>
        </w:tc>
        <w:tc>
          <w:tcPr>
            <w:tcW w:w="746" w:type="pct"/>
            <w:tcBorders>
              <w:top w:val="single" w:sz="18" w:space="0" w:color="FFFFFF"/>
            </w:tcBorders>
            <w:shd w:val="pct5" w:color="000000" w:fill="FFFFFF"/>
          </w:tcPr>
          <w:p w:rsidR="00FF1EC7" w:rsidRPr="007F28F4" w:rsidRDefault="007F28F4" w:rsidP="00580F3B">
            <w:pPr>
              <w:rPr>
                <w:sz w:val="20"/>
                <w:szCs w:val="20"/>
              </w:rPr>
            </w:pPr>
            <w:r w:rsidRPr="007F28F4">
              <w:rPr>
                <w:sz w:val="20"/>
                <w:szCs w:val="20"/>
              </w:rPr>
              <w:t>8/28/12</w:t>
            </w:r>
          </w:p>
        </w:tc>
        <w:tc>
          <w:tcPr>
            <w:tcW w:w="1948" w:type="pct"/>
            <w:tcBorders>
              <w:top w:val="single" w:sz="18" w:space="0" w:color="FFFFFF"/>
            </w:tcBorders>
            <w:shd w:val="pct5" w:color="000000" w:fill="FFFFFF"/>
          </w:tcPr>
          <w:p w:rsidR="00FF1EC7" w:rsidRPr="007F28F4" w:rsidRDefault="007F28F4" w:rsidP="00580F3B">
            <w:pPr>
              <w:rPr>
                <w:sz w:val="20"/>
                <w:szCs w:val="20"/>
              </w:rPr>
            </w:pPr>
            <w:r w:rsidRPr="007F28F4">
              <w:rPr>
                <w:sz w:val="20"/>
                <w:szCs w:val="20"/>
              </w:rPr>
              <w:t xml:space="preserve">There is no OTR in this </w:t>
            </w:r>
            <w:proofErr w:type="spellStart"/>
            <w:r w:rsidRPr="007F28F4">
              <w:rPr>
                <w:sz w:val="20"/>
                <w:szCs w:val="20"/>
              </w:rPr>
              <w:t>workpaper</w:t>
            </w:r>
            <w:proofErr w:type="spellEnd"/>
            <w:r w:rsidRPr="007F28F4">
              <w:rPr>
                <w:sz w:val="20"/>
                <w:szCs w:val="20"/>
              </w:rPr>
              <w:t>, only MFM.  For Vintage AV is changed to EX and For Climate Zone All is changed to IOU</w:t>
            </w:r>
          </w:p>
        </w:tc>
        <w:tc>
          <w:tcPr>
            <w:tcW w:w="1436" w:type="pct"/>
            <w:tcBorders>
              <w:top w:val="single" w:sz="18" w:space="0" w:color="FFFFFF"/>
            </w:tcBorders>
            <w:shd w:val="pct5" w:color="000000" w:fill="FFFFFF"/>
          </w:tcPr>
          <w:p w:rsidR="00FF1EC7" w:rsidRDefault="007F28F4" w:rsidP="00580F3B">
            <w:pPr>
              <w:rPr>
                <w:bCs/>
                <w:sz w:val="20"/>
                <w:szCs w:val="20"/>
              </w:rPr>
            </w:pPr>
            <w:r>
              <w:rPr>
                <w:bCs/>
                <w:sz w:val="20"/>
                <w:szCs w:val="20"/>
              </w:rPr>
              <w:t xml:space="preserve">Alina </w:t>
            </w:r>
            <w:proofErr w:type="spellStart"/>
            <w:r>
              <w:rPr>
                <w:bCs/>
                <w:sz w:val="20"/>
                <w:szCs w:val="20"/>
              </w:rPr>
              <w:t>Zohrabian</w:t>
            </w:r>
            <w:proofErr w:type="spellEnd"/>
            <w:r>
              <w:rPr>
                <w:bCs/>
                <w:sz w:val="20"/>
                <w:szCs w:val="20"/>
              </w:rPr>
              <w:t xml:space="preserve"> (PG&amp;E)</w:t>
            </w:r>
          </w:p>
        </w:tc>
      </w:tr>
      <w:tr w:rsidR="00784E5B" w:rsidTr="00EF5123">
        <w:trPr>
          <w:trHeight w:val="464"/>
        </w:trPr>
        <w:tc>
          <w:tcPr>
            <w:tcW w:w="870" w:type="pct"/>
            <w:shd w:val="pct20" w:color="000000" w:fill="FFFFFF"/>
          </w:tcPr>
          <w:p w:rsidR="00784E5B" w:rsidRDefault="00784E5B" w:rsidP="003244F5">
            <w:pPr>
              <w:rPr>
                <w:b/>
              </w:rPr>
            </w:pPr>
            <w:r>
              <w:t>Revision 4</w:t>
            </w:r>
          </w:p>
        </w:tc>
        <w:tc>
          <w:tcPr>
            <w:tcW w:w="746" w:type="pct"/>
            <w:shd w:val="pct20" w:color="000000" w:fill="FFFFFF"/>
          </w:tcPr>
          <w:p w:rsidR="00784E5B" w:rsidRPr="007F28F4" w:rsidRDefault="00784E5B" w:rsidP="00784E5B">
            <w:pPr>
              <w:rPr>
                <w:sz w:val="20"/>
                <w:szCs w:val="20"/>
              </w:rPr>
            </w:pPr>
            <w:r>
              <w:rPr>
                <w:sz w:val="20"/>
                <w:szCs w:val="20"/>
              </w:rPr>
              <w:t>7</w:t>
            </w:r>
            <w:r w:rsidRPr="007F28F4">
              <w:rPr>
                <w:sz w:val="20"/>
                <w:szCs w:val="20"/>
              </w:rPr>
              <w:t>/</w:t>
            </w:r>
            <w:r>
              <w:rPr>
                <w:sz w:val="20"/>
                <w:szCs w:val="20"/>
              </w:rPr>
              <w:t>12</w:t>
            </w:r>
            <w:r w:rsidRPr="007F28F4">
              <w:rPr>
                <w:sz w:val="20"/>
                <w:szCs w:val="20"/>
              </w:rPr>
              <w:t>/1</w:t>
            </w:r>
            <w:r>
              <w:rPr>
                <w:sz w:val="20"/>
                <w:szCs w:val="20"/>
              </w:rPr>
              <w:t>3</w:t>
            </w:r>
          </w:p>
        </w:tc>
        <w:tc>
          <w:tcPr>
            <w:tcW w:w="1948" w:type="pct"/>
            <w:shd w:val="pct20" w:color="000000" w:fill="FFFFFF"/>
          </w:tcPr>
          <w:p w:rsidR="00784E5B" w:rsidRDefault="00177286" w:rsidP="003244F5">
            <w:pPr>
              <w:rPr>
                <w:sz w:val="20"/>
                <w:szCs w:val="20"/>
              </w:rPr>
            </w:pPr>
            <w:r w:rsidRPr="00DD343F">
              <w:rPr>
                <w:bCs/>
                <w:sz w:val="20"/>
                <w:szCs w:val="20"/>
              </w:rPr>
              <w:t xml:space="preserve">Revised Savings values per ED </w:t>
            </w:r>
            <w:proofErr w:type="spellStart"/>
            <w:r w:rsidRPr="00DD343F">
              <w:rPr>
                <w:bCs/>
                <w:sz w:val="20"/>
                <w:szCs w:val="20"/>
              </w:rPr>
              <w:t>Workpaper</w:t>
            </w:r>
            <w:proofErr w:type="spellEnd"/>
            <w:r w:rsidRPr="00DD343F">
              <w:rPr>
                <w:bCs/>
                <w:sz w:val="20"/>
                <w:szCs w:val="20"/>
              </w:rPr>
              <w:t xml:space="preserve"> Disposition for Lighting Retrofit, issue March, 2013. For updated savings values, see file PGECOLTG109 R4-Calcs.xlsx</w:t>
            </w:r>
          </w:p>
          <w:p w:rsidR="00784E5B" w:rsidRPr="007F28F4" w:rsidRDefault="002056AC" w:rsidP="003244F5">
            <w:pPr>
              <w:rPr>
                <w:sz w:val="20"/>
                <w:szCs w:val="20"/>
              </w:rPr>
            </w:pPr>
            <w:r>
              <w:rPr>
                <w:sz w:val="20"/>
                <w:szCs w:val="20"/>
              </w:rPr>
              <w:t>PGE used 60 watts for base case and 14.7 watt for measure case. ED suggested using WRR of 4.07 on a 15 Watt CFL to calculate the bas</w:t>
            </w:r>
            <w:bookmarkStart w:id="5" w:name="_GoBack"/>
            <w:bookmarkEnd w:id="5"/>
            <w:r>
              <w:rPr>
                <w:sz w:val="20"/>
                <w:szCs w:val="20"/>
              </w:rPr>
              <w:t>e case in the disposition. This changed the base case from 60 watts to 61.05 watts, and the measure case from 14.7 to 15 watts.</w:t>
            </w:r>
          </w:p>
        </w:tc>
        <w:tc>
          <w:tcPr>
            <w:tcW w:w="1436" w:type="pct"/>
            <w:shd w:val="pct20" w:color="000000" w:fill="FFFFFF"/>
          </w:tcPr>
          <w:p w:rsidR="00784E5B" w:rsidRDefault="00784E5B" w:rsidP="003244F5">
            <w:pPr>
              <w:rPr>
                <w:bCs/>
                <w:sz w:val="20"/>
                <w:szCs w:val="20"/>
              </w:rPr>
            </w:pPr>
            <w:r>
              <w:rPr>
                <w:bCs/>
                <w:sz w:val="20"/>
                <w:szCs w:val="20"/>
              </w:rPr>
              <w:t xml:space="preserve">Alina </w:t>
            </w:r>
            <w:proofErr w:type="spellStart"/>
            <w:r>
              <w:rPr>
                <w:bCs/>
                <w:sz w:val="20"/>
                <w:szCs w:val="20"/>
              </w:rPr>
              <w:t>Zohrabian</w:t>
            </w:r>
            <w:proofErr w:type="spellEnd"/>
            <w:r>
              <w:rPr>
                <w:bCs/>
                <w:sz w:val="20"/>
                <w:szCs w:val="20"/>
              </w:rPr>
              <w:t xml:space="preserve"> (PG&amp;E)</w:t>
            </w:r>
          </w:p>
        </w:tc>
      </w:tr>
      <w:tr w:rsidR="00DD343F" w:rsidTr="0084548D">
        <w:trPr>
          <w:trHeight w:val="464"/>
        </w:trPr>
        <w:tc>
          <w:tcPr>
            <w:tcW w:w="870" w:type="pct"/>
            <w:shd w:val="clear" w:color="auto" w:fill="F2F2F2" w:themeFill="background1" w:themeFillShade="F2"/>
          </w:tcPr>
          <w:p w:rsidR="00DD343F" w:rsidRDefault="00DD343F" w:rsidP="003244F5">
            <w:pPr>
              <w:rPr>
                <w:b/>
              </w:rPr>
            </w:pPr>
            <w:r>
              <w:t>Revision 5</w:t>
            </w:r>
          </w:p>
        </w:tc>
        <w:tc>
          <w:tcPr>
            <w:tcW w:w="746" w:type="pct"/>
            <w:shd w:val="clear" w:color="auto" w:fill="F2F2F2" w:themeFill="background1" w:themeFillShade="F2"/>
          </w:tcPr>
          <w:p w:rsidR="00DD343F" w:rsidRPr="007F28F4" w:rsidRDefault="00DD343F" w:rsidP="003244F5">
            <w:pPr>
              <w:rPr>
                <w:sz w:val="20"/>
                <w:szCs w:val="20"/>
              </w:rPr>
            </w:pPr>
            <w:r>
              <w:rPr>
                <w:sz w:val="20"/>
                <w:szCs w:val="20"/>
              </w:rPr>
              <w:t>5</w:t>
            </w:r>
            <w:r w:rsidRPr="007F28F4">
              <w:rPr>
                <w:sz w:val="20"/>
                <w:szCs w:val="20"/>
              </w:rPr>
              <w:t>/</w:t>
            </w:r>
            <w:r>
              <w:rPr>
                <w:sz w:val="20"/>
                <w:szCs w:val="20"/>
              </w:rPr>
              <w:t>16</w:t>
            </w:r>
            <w:r w:rsidRPr="007F28F4">
              <w:rPr>
                <w:sz w:val="20"/>
                <w:szCs w:val="20"/>
              </w:rPr>
              <w:t>/1</w:t>
            </w:r>
            <w:r>
              <w:rPr>
                <w:sz w:val="20"/>
                <w:szCs w:val="20"/>
              </w:rPr>
              <w:t>4</w:t>
            </w:r>
          </w:p>
        </w:tc>
        <w:tc>
          <w:tcPr>
            <w:tcW w:w="1948" w:type="pct"/>
            <w:shd w:val="clear" w:color="auto" w:fill="F2F2F2" w:themeFill="background1" w:themeFillShade="F2"/>
          </w:tcPr>
          <w:p w:rsidR="00CF62CB" w:rsidRDefault="00CF62CB" w:rsidP="00CF62CB">
            <w:pPr>
              <w:rPr>
                <w:sz w:val="20"/>
                <w:szCs w:val="20"/>
              </w:rPr>
            </w:pPr>
            <w:r>
              <w:rPr>
                <w:sz w:val="20"/>
                <w:szCs w:val="20"/>
              </w:rPr>
              <w:t xml:space="preserve">PGE used a WRR of 4.07 based on March disposition and </w:t>
            </w:r>
            <w:r w:rsidR="00EF5123">
              <w:rPr>
                <w:sz w:val="20"/>
                <w:szCs w:val="20"/>
              </w:rPr>
              <w:t xml:space="preserve">4100 hours for exterior Res based on READI </w:t>
            </w:r>
            <w:r w:rsidR="004E00A8">
              <w:rPr>
                <w:sz w:val="20"/>
                <w:szCs w:val="20"/>
              </w:rPr>
              <w:t>V</w:t>
            </w:r>
            <w:r w:rsidR="004E00A8" w:rsidRPr="004E00A8">
              <w:rPr>
                <w:sz w:val="20"/>
                <w:szCs w:val="20"/>
              </w:rPr>
              <w:t>0.99.6</w:t>
            </w:r>
            <w:r w:rsidR="00EF5123">
              <w:rPr>
                <w:sz w:val="20"/>
                <w:szCs w:val="20"/>
              </w:rPr>
              <w:t xml:space="preserve">, </w:t>
            </w:r>
            <w:r>
              <w:rPr>
                <w:sz w:val="20"/>
                <w:szCs w:val="20"/>
              </w:rPr>
              <w:t>ED recommended WRR of 3.53 for all CFL fixtures</w:t>
            </w:r>
            <w:r w:rsidR="00EF5123">
              <w:rPr>
                <w:sz w:val="20"/>
                <w:szCs w:val="20"/>
              </w:rPr>
              <w:t xml:space="preserve"> and 3</w:t>
            </w:r>
            <w:r w:rsidR="002F1A69">
              <w:rPr>
                <w:sz w:val="20"/>
                <w:szCs w:val="20"/>
              </w:rPr>
              <w:t>390</w:t>
            </w:r>
            <w:r w:rsidR="00EF5123">
              <w:rPr>
                <w:sz w:val="20"/>
                <w:szCs w:val="20"/>
              </w:rPr>
              <w:t xml:space="preserve"> hours for exterior common area in Multifamily building type</w:t>
            </w:r>
            <w:r>
              <w:rPr>
                <w:sz w:val="20"/>
                <w:szCs w:val="20"/>
              </w:rPr>
              <w:t xml:space="preserve"> in Lighting disposition December 14,</w:t>
            </w:r>
            <w:r w:rsidR="00CF7A60">
              <w:rPr>
                <w:sz w:val="20"/>
                <w:szCs w:val="20"/>
              </w:rPr>
              <w:t xml:space="preserve"> </w:t>
            </w:r>
            <w:r>
              <w:rPr>
                <w:sz w:val="20"/>
                <w:szCs w:val="20"/>
              </w:rPr>
              <w:t>2013.</w:t>
            </w:r>
            <w:r w:rsidR="00CF7A60">
              <w:rPr>
                <w:sz w:val="20"/>
                <w:szCs w:val="20"/>
              </w:rPr>
              <w:t xml:space="preserve"> </w:t>
            </w:r>
            <w:r>
              <w:rPr>
                <w:sz w:val="20"/>
                <w:szCs w:val="20"/>
              </w:rPr>
              <w:t>EUL in Dec, 14, 2013 disposition shows 12 years, which is a typo since the EUL in READI, v1.0.5 is 16 years.</w:t>
            </w:r>
          </w:p>
          <w:p w:rsidR="00DD343F" w:rsidRPr="007F28F4" w:rsidRDefault="00CF62CB" w:rsidP="00CF62CB">
            <w:pPr>
              <w:rPr>
                <w:sz w:val="20"/>
                <w:szCs w:val="20"/>
              </w:rPr>
            </w:pPr>
            <w:r w:rsidRPr="00C0445F">
              <w:rPr>
                <w:rFonts w:ascii="Arial" w:hAnsi="Arial" w:cs="Arial"/>
                <w:bCs/>
                <w:sz w:val="20"/>
                <w:szCs w:val="20"/>
              </w:rPr>
              <w:t xml:space="preserve">Revised savings values per ED </w:t>
            </w:r>
            <w:proofErr w:type="spellStart"/>
            <w:r w:rsidRPr="00C0445F">
              <w:rPr>
                <w:rFonts w:ascii="Arial" w:hAnsi="Arial" w:cs="Arial"/>
                <w:bCs/>
                <w:sz w:val="20"/>
                <w:szCs w:val="20"/>
              </w:rPr>
              <w:t>Workpaper</w:t>
            </w:r>
            <w:proofErr w:type="spellEnd"/>
            <w:r w:rsidRPr="00C0445F">
              <w:rPr>
                <w:rFonts w:ascii="Arial" w:hAnsi="Arial" w:cs="Arial"/>
                <w:bCs/>
                <w:sz w:val="20"/>
                <w:szCs w:val="20"/>
              </w:rPr>
              <w:t xml:space="preserve"> Disposition for lighting Retrofit, December 14, 2013. For updated savings values, see file PGECOLTG1</w:t>
            </w:r>
            <w:r>
              <w:rPr>
                <w:rFonts w:ascii="Arial" w:hAnsi="Arial" w:cs="Arial"/>
                <w:bCs/>
                <w:sz w:val="20"/>
                <w:szCs w:val="20"/>
              </w:rPr>
              <w:t>09 R5</w:t>
            </w:r>
            <w:r w:rsidRPr="00C0445F">
              <w:rPr>
                <w:rFonts w:ascii="Arial" w:hAnsi="Arial" w:cs="Arial"/>
                <w:bCs/>
                <w:sz w:val="20"/>
                <w:szCs w:val="20"/>
              </w:rPr>
              <w:t>.xlsx</w:t>
            </w:r>
          </w:p>
        </w:tc>
        <w:tc>
          <w:tcPr>
            <w:tcW w:w="1436" w:type="pct"/>
            <w:shd w:val="clear" w:color="auto" w:fill="F2F2F2" w:themeFill="background1" w:themeFillShade="F2"/>
          </w:tcPr>
          <w:p w:rsidR="00DD343F" w:rsidRDefault="00DD343F" w:rsidP="003244F5">
            <w:pPr>
              <w:rPr>
                <w:bCs/>
                <w:sz w:val="20"/>
                <w:szCs w:val="20"/>
              </w:rPr>
            </w:pPr>
            <w:r>
              <w:rPr>
                <w:bCs/>
                <w:sz w:val="20"/>
                <w:szCs w:val="20"/>
              </w:rPr>
              <w:t xml:space="preserve">Alina </w:t>
            </w:r>
            <w:proofErr w:type="spellStart"/>
            <w:r>
              <w:rPr>
                <w:bCs/>
                <w:sz w:val="20"/>
                <w:szCs w:val="20"/>
              </w:rPr>
              <w:t>Zohrabian</w:t>
            </w:r>
            <w:proofErr w:type="spellEnd"/>
            <w:r>
              <w:rPr>
                <w:bCs/>
                <w:sz w:val="20"/>
                <w:szCs w:val="20"/>
              </w:rPr>
              <w:t xml:space="preserve"> (PG&amp;E)</w:t>
            </w:r>
          </w:p>
        </w:tc>
      </w:tr>
      <w:tr w:rsidR="00E8444B" w:rsidTr="00EF5123">
        <w:trPr>
          <w:trHeight w:val="464"/>
        </w:trPr>
        <w:tc>
          <w:tcPr>
            <w:tcW w:w="870" w:type="pct"/>
            <w:shd w:val="pct20" w:color="000000" w:fill="FFFFFF"/>
          </w:tcPr>
          <w:p w:rsidR="00E8444B" w:rsidRDefault="00E8444B" w:rsidP="003244F5">
            <w:r>
              <w:t>Revision 6</w:t>
            </w:r>
          </w:p>
        </w:tc>
        <w:tc>
          <w:tcPr>
            <w:tcW w:w="746" w:type="pct"/>
            <w:shd w:val="pct20" w:color="000000" w:fill="FFFFFF"/>
          </w:tcPr>
          <w:p w:rsidR="00E8444B" w:rsidRDefault="00E8444B" w:rsidP="003244F5">
            <w:pPr>
              <w:rPr>
                <w:sz w:val="20"/>
                <w:szCs w:val="20"/>
              </w:rPr>
            </w:pPr>
            <w:r>
              <w:rPr>
                <w:sz w:val="20"/>
                <w:szCs w:val="20"/>
              </w:rPr>
              <w:t>1/1/2016</w:t>
            </w:r>
          </w:p>
        </w:tc>
        <w:tc>
          <w:tcPr>
            <w:tcW w:w="1948" w:type="pct"/>
            <w:shd w:val="pct20" w:color="000000" w:fill="FFFFFF"/>
          </w:tcPr>
          <w:p w:rsidR="00E8444B" w:rsidRDefault="000518EE" w:rsidP="00793116">
            <w:pPr>
              <w:rPr>
                <w:sz w:val="20"/>
                <w:szCs w:val="20"/>
              </w:rPr>
            </w:pPr>
            <w:r>
              <w:rPr>
                <w:sz w:val="20"/>
                <w:szCs w:val="20"/>
              </w:rPr>
              <w:t>Update</w:t>
            </w:r>
            <w:r w:rsidR="00F14322">
              <w:rPr>
                <w:sz w:val="20"/>
                <w:szCs w:val="20"/>
              </w:rPr>
              <w:t>d b</w:t>
            </w:r>
            <w:r>
              <w:rPr>
                <w:sz w:val="20"/>
                <w:szCs w:val="20"/>
              </w:rPr>
              <w:t>ase case cost</w:t>
            </w:r>
            <w:r w:rsidR="00F14322">
              <w:rPr>
                <w:sz w:val="20"/>
                <w:szCs w:val="20"/>
              </w:rPr>
              <w:t>s</w:t>
            </w:r>
            <w:r>
              <w:rPr>
                <w:sz w:val="20"/>
                <w:szCs w:val="20"/>
              </w:rPr>
              <w:t xml:space="preserve"> and measure cost</w:t>
            </w:r>
            <w:r w:rsidR="00F14322">
              <w:rPr>
                <w:sz w:val="20"/>
                <w:szCs w:val="20"/>
              </w:rPr>
              <w:t xml:space="preserve">s.  The new format template </w:t>
            </w:r>
            <w:r w:rsidR="00793116">
              <w:rPr>
                <w:sz w:val="20"/>
                <w:szCs w:val="20"/>
              </w:rPr>
              <w:t>was</w:t>
            </w:r>
            <w:r w:rsidR="00F14322">
              <w:rPr>
                <w:sz w:val="20"/>
                <w:szCs w:val="20"/>
              </w:rPr>
              <w:t xml:space="preserve"> used.</w:t>
            </w:r>
          </w:p>
        </w:tc>
        <w:tc>
          <w:tcPr>
            <w:tcW w:w="1436" w:type="pct"/>
            <w:shd w:val="pct20" w:color="000000" w:fill="FFFFFF"/>
          </w:tcPr>
          <w:p w:rsidR="00E8444B" w:rsidRDefault="00E8444B" w:rsidP="003244F5">
            <w:pPr>
              <w:rPr>
                <w:bCs/>
                <w:sz w:val="20"/>
                <w:szCs w:val="20"/>
              </w:rPr>
            </w:pPr>
            <w:r>
              <w:rPr>
                <w:bCs/>
                <w:sz w:val="20"/>
                <w:szCs w:val="20"/>
              </w:rPr>
              <w:t>Linda Wan (PG&amp;E)</w:t>
            </w:r>
            <w:r w:rsidR="006F1277">
              <w:rPr>
                <w:bCs/>
                <w:sz w:val="20"/>
                <w:szCs w:val="20"/>
              </w:rPr>
              <w:t>/</w:t>
            </w:r>
            <w:r w:rsidR="009C59BE">
              <w:rPr>
                <w:bCs/>
                <w:sz w:val="20"/>
                <w:szCs w:val="20"/>
              </w:rPr>
              <w:t xml:space="preserve">Alina </w:t>
            </w:r>
            <w:proofErr w:type="spellStart"/>
            <w:r w:rsidR="009C59BE">
              <w:rPr>
                <w:bCs/>
                <w:sz w:val="20"/>
                <w:szCs w:val="20"/>
              </w:rPr>
              <w:t>Zohrabian</w:t>
            </w:r>
            <w:proofErr w:type="spellEnd"/>
            <w:r w:rsidR="009C59BE">
              <w:rPr>
                <w:bCs/>
                <w:sz w:val="20"/>
                <w:szCs w:val="20"/>
              </w:rPr>
              <w:t xml:space="preserve"> (PG&amp;E)</w:t>
            </w:r>
            <w:r w:rsidR="006F1277">
              <w:rPr>
                <w:bCs/>
                <w:sz w:val="20"/>
                <w:szCs w:val="20"/>
              </w:rPr>
              <w:t>/Tai Voong (PG&amp;E)</w:t>
            </w:r>
          </w:p>
        </w:tc>
      </w:tr>
    </w:tbl>
    <w:p w:rsidR="00FF1EC7" w:rsidRDefault="00FF1EC7" w:rsidP="00580F3B">
      <w:pPr>
        <w:pStyle w:val="Heading1"/>
      </w:pPr>
      <w:bookmarkStart w:id="6" w:name="_Toc186621650"/>
      <w:r>
        <w:br w:type="page"/>
      </w:r>
      <w:bookmarkStart w:id="7" w:name="_Toc436750791"/>
      <w:r>
        <w:lastRenderedPageBreak/>
        <w:t>Table of Contents</w:t>
      </w:r>
      <w:bookmarkEnd w:id="6"/>
      <w:bookmarkEnd w:id="7"/>
    </w:p>
    <w:p w:rsidR="00793116" w:rsidRDefault="00FF1EC7">
      <w:pPr>
        <w:pStyle w:val="TOC1"/>
        <w:rPr>
          <w:rFonts w:asciiTheme="minorHAnsi" w:eastAsiaTheme="minorEastAsia" w:hAnsiTheme="minorHAnsi" w:cstheme="minorBidi"/>
          <w:b w:val="0"/>
          <w:bCs w:val="0"/>
          <w:sz w:val="22"/>
          <w:szCs w:val="22"/>
        </w:rPr>
      </w:pPr>
      <w:r w:rsidRPr="00F75566">
        <w:rPr>
          <w:rFonts w:ascii="Times New Roman" w:hAnsi="Times New Roman" w:cs="Times New Roman"/>
          <w:b w:val="0"/>
        </w:rPr>
        <w:fldChar w:fldCharType="begin"/>
      </w:r>
      <w:r w:rsidRPr="00F75566">
        <w:rPr>
          <w:rFonts w:ascii="Times New Roman" w:hAnsi="Times New Roman" w:cs="Times New Roman"/>
          <w:b w:val="0"/>
        </w:rPr>
        <w:instrText xml:space="preserve"> TOC \o "1-3" \h \z \u </w:instrText>
      </w:r>
      <w:r w:rsidRPr="00F75566">
        <w:rPr>
          <w:rFonts w:ascii="Times New Roman" w:hAnsi="Times New Roman" w:cs="Times New Roman"/>
          <w:b w:val="0"/>
        </w:rPr>
        <w:fldChar w:fldCharType="separate"/>
      </w:r>
      <w:hyperlink w:anchor="_Toc436750789" w:history="1">
        <w:r w:rsidR="00793116" w:rsidRPr="004D25CC">
          <w:rPr>
            <w:rStyle w:val="Hyperlink"/>
          </w:rPr>
          <w:t>At-a-Glance Summary</w:t>
        </w:r>
        <w:r w:rsidR="00793116">
          <w:rPr>
            <w:webHidden/>
          </w:rPr>
          <w:tab/>
        </w:r>
        <w:r w:rsidR="00793116">
          <w:rPr>
            <w:webHidden/>
          </w:rPr>
          <w:fldChar w:fldCharType="begin"/>
        </w:r>
        <w:r w:rsidR="00793116">
          <w:rPr>
            <w:webHidden/>
          </w:rPr>
          <w:instrText xml:space="preserve"> PAGEREF _Toc436750789 \h </w:instrText>
        </w:r>
        <w:r w:rsidR="00793116">
          <w:rPr>
            <w:webHidden/>
          </w:rPr>
        </w:r>
        <w:r w:rsidR="00793116">
          <w:rPr>
            <w:webHidden/>
          </w:rPr>
          <w:fldChar w:fldCharType="separate"/>
        </w:r>
        <w:r w:rsidR="00793116">
          <w:rPr>
            <w:webHidden/>
          </w:rPr>
          <w:t>ii</w:t>
        </w:r>
        <w:r w:rsidR="00793116">
          <w:rPr>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790" w:history="1">
        <w:r w:rsidRPr="004D25CC">
          <w:rPr>
            <w:rStyle w:val="Hyperlink"/>
          </w:rPr>
          <w:t>Document Revision History</w:t>
        </w:r>
        <w:r>
          <w:rPr>
            <w:webHidden/>
          </w:rPr>
          <w:tab/>
        </w:r>
        <w:r>
          <w:rPr>
            <w:webHidden/>
          </w:rPr>
          <w:fldChar w:fldCharType="begin"/>
        </w:r>
        <w:r>
          <w:rPr>
            <w:webHidden/>
          </w:rPr>
          <w:instrText xml:space="preserve"> PAGEREF _Toc436750790 \h </w:instrText>
        </w:r>
        <w:r>
          <w:rPr>
            <w:webHidden/>
          </w:rPr>
        </w:r>
        <w:r>
          <w:rPr>
            <w:webHidden/>
          </w:rPr>
          <w:fldChar w:fldCharType="separate"/>
        </w:r>
        <w:r>
          <w:rPr>
            <w:webHidden/>
          </w:rPr>
          <w:t>iii</w:t>
        </w:r>
        <w:r>
          <w:rPr>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791" w:history="1">
        <w:r w:rsidRPr="004D25CC">
          <w:rPr>
            <w:rStyle w:val="Hyperlink"/>
          </w:rPr>
          <w:t>Table of Contents</w:t>
        </w:r>
        <w:r>
          <w:rPr>
            <w:webHidden/>
          </w:rPr>
          <w:tab/>
        </w:r>
        <w:r>
          <w:rPr>
            <w:webHidden/>
          </w:rPr>
          <w:fldChar w:fldCharType="begin"/>
        </w:r>
        <w:r>
          <w:rPr>
            <w:webHidden/>
          </w:rPr>
          <w:instrText xml:space="preserve"> PAGEREF _Toc436750791 \h </w:instrText>
        </w:r>
        <w:r>
          <w:rPr>
            <w:webHidden/>
          </w:rPr>
        </w:r>
        <w:r>
          <w:rPr>
            <w:webHidden/>
          </w:rPr>
          <w:fldChar w:fldCharType="separate"/>
        </w:r>
        <w:r>
          <w:rPr>
            <w:webHidden/>
          </w:rPr>
          <w:t>iv</w:t>
        </w:r>
        <w:r>
          <w:rPr>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792" w:history="1">
        <w:r w:rsidRPr="004D25CC">
          <w:rPr>
            <w:rStyle w:val="Hyperlink"/>
          </w:rPr>
          <w:t>List of Tables</w:t>
        </w:r>
        <w:r>
          <w:rPr>
            <w:webHidden/>
          </w:rPr>
          <w:tab/>
        </w:r>
        <w:r>
          <w:rPr>
            <w:webHidden/>
          </w:rPr>
          <w:fldChar w:fldCharType="begin"/>
        </w:r>
        <w:r>
          <w:rPr>
            <w:webHidden/>
          </w:rPr>
          <w:instrText xml:space="preserve"> PAGEREF _Toc436750792 \h </w:instrText>
        </w:r>
        <w:r>
          <w:rPr>
            <w:webHidden/>
          </w:rPr>
        </w:r>
        <w:r>
          <w:rPr>
            <w:webHidden/>
          </w:rPr>
          <w:fldChar w:fldCharType="separate"/>
        </w:r>
        <w:r>
          <w:rPr>
            <w:webHidden/>
          </w:rPr>
          <w:t>4</w:t>
        </w:r>
        <w:r>
          <w:rPr>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793" w:history="1">
        <w:r w:rsidRPr="004D25CC">
          <w:rPr>
            <w:rStyle w:val="Hyperlink"/>
          </w:rPr>
          <w:t>Section 1. General Measure &amp; Baseline Data</w:t>
        </w:r>
        <w:r>
          <w:rPr>
            <w:webHidden/>
          </w:rPr>
          <w:tab/>
        </w:r>
        <w:r>
          <w:rPr>
            <w:webHidden/>
          </w:rPr>
          <w:fldChar w:fldCharType="begin"/>
        </w:r>
        <w:r>
          <w:rPr>
            <w:webHidden/>
          </w:rPr>
          <w:instrText xml:space="preserve"> PAGEREF _Toc436750793 \h </w:instrText>
        </w:r>
        <w:r>
          <w:rPr>
            <w:webHidden/>
          </w:rPr>
        </w:r>
        <w:r>
          <w:rPr>
            <w:webHidden/>
          </w:rPr>
          <w:fldChar w:fldCharType="separate"/>
        </w:r>
        <w:r>
          <w:rPr>
            <w:webHidden/>
          </w:rPr>
          <w:t>1</w:t>
        </w:r>
        <w:r>
          <w:rPr>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4" w:history="1">
        <w:r w:rsidRPr="004D25CC">
          <w:rPr>
            <w:rStyle w:val="Hyperlink"/>
            <w:noProof/>
          </w:rPr>
          <w:t>1.1 Product Measure Description &amp; Background</w:t>
        </w:r>
        <w:r>
          <w:rPr>
            <w:noProof/>
            <w:webHidden/>
          </w:rPr>
          <w:tab/>
        </w:r>
        <w:r>
          <w:rPr>
            <w:noProof/>
            <w:webHidden/>
          </w:rPr>
          <w:fldChar w:fldCharType="begin"/>
        </w:r>
        <w:r>
          <w:rPr>
            <w:noProof/>
            <w:webHidden/>
          </w:rPr>
          <w:instrText xml:space="preserve"> PAGEREF _Toc436750794 \h </w:instrText>
        </w:r>
        <w:r>
          <w:rPr>
            <w:noProof/>
            <w:webHidden/>
          </w:rPr>
        </w:r>
        <w:r>
          <w:rPr>
            <w:noProof/>
            <w:webHidden/>
          </w:rPr>
          <w:fldChar w:fldCharType="separate"/>
        </w:r>
        <w:r>
          <w:rPr>
            <w:noProof/>
            <w:webHidden/>
          </w:rPr>
          <w:t>1</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5" w:history="1">
        <w:r w:rsidRPr="004D25CC">
          <w:rPr>
            <w:rStyle w:val="Hyperlink"/>
            <w:noProof/>
          </w:rPr>
          <w:t>1.2 Product Technical Description</w:t>
        </w:r>
        <w:r>
          <w:rPr>
            <w:noProof/>
            <w:webHidden/>
          </w:rPr>
          <w:tab/>
        </w:r>
        <w:r>
          <w:rPr>
            <w:noProof/>
            <w:webHidden/>
          </w:rPr>
          <w:fldChar w:fldCharType="begin"/>
        </w:r>
        <w:r>
          <w:rPr>
            <w:noProof/>
            <w:webHidden/>
          </w:rPr>
          <w:instrText xml:space="preserve"> PAGEREF _Toc436750795 \h </w:instrText>
        </w:r>
        <w:r>
          <w:rPr>
            <w:noProof/>
            <w:webHidden/>
          </w:rPr>
        </w:r>
        <w:r>
          <w:rPr>
            <w:noProof/>
            <w:webHidden/>
          </w:rPr>
          <w:fldChar w:fldCharType="separate"/>
        </w:r>
        <w:r>
          <w:rPr>
            <w:noProof/>
            <w:webHidden/>
          </w:rPr>
          <w:t>1</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6" w:history="1">
        <w:r w:rsidRPr="004D25CC">
          <w:rPr>
            <w:rStyle w:val="Hyperlink"/>
            <w:noProof/>
          </w:rPr>
          <w:t>1.3 Measure Application Type</w:t>
        </w:r>
        <w:r>
          <w:rPr>
            <w:noProof/>
            <w:webHidden/>
          </w:rPr>
          <w:tab/>
        </w:r>
        <w:r>
          <w:rPr>
            <w:noProof/>
            <w:webHidden/>
          </w:rPr>
          <w:fldChar w:fldCharType="begin"/>
        </w:r>
        <w:r>
          <w:rPr>
            <w:noProof/>
            <w:webHidden/>
          </w:rPr>
          <w:instrText xml:space="preserve"> PAGEREF _Toc436750796 \h </w:instrText>
        </w:r>
        <w:r>
          <w:rPr>
            <w:noProof/>
            <w:webHidden/>
          </w:rPr>
        </w:r>
        <w:r>
          <w:rPr>
            <w:noProof/>
            <w:webHidden/>
          </w:rPr>
          <w:fldChar w:fldCharType="separate"/>
        </w:r>
        <w:r>
          <w:rPr>
            <w:noProof/>
            <w:webHidden/>
          </w:rPr>
          <w:t>1</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7" w:history="1">
        <w:r w:rsidRPr="004D25CC">
          <w:rPr>
            <w:rStyle w:val="Hyperlink"/>
            <w:noProof/>
          </w:rPr>
          <w:t>1.4 Product Base Case and Measure Case Data</w:t>
        </w:r>
        <w:r>
          <w:rPr>
            <w:noProof/>
            <w:webHidden/>
          </w:rPr>
          <w:tab/>
        </w:r>
        <w:r>
          <w:rPr>
            <w:noProof/>
            <w:webHidden/>
          </w:rPr>
          <w:fldChar w:fldCharType="begin"/>
        </w:r>
        <w:r>
          <w:rPr>
            <w:noProof/>
            <w:webHidden/>
          </w:rPr>
          <w:instrText xml:space="preserve"> PAGEREF _Toc436750797 \h </w:instrText>
        </w:r>
        <w:r>
          <w:rPr>
            <w:noProof/>
            <w:webHidden/>
          </w:rPr>
        </w:r>
        <w:r>
          <w:rPr>
            <w:noProof/>
            <w:webHidden/>
          </w:rPr>
          <w:fldChar w:fldCharType="separate"/>
        </w:r>
        <w:r>
          <w:rPr>
            <w:noProof/>
            <w:webHidden/>
          </w:rPr>
          <w:t>2</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8" w:history="1">
        <w:r w:rsidRPr="004D25CC">
          <w:rPr>
            <w:rStyle w:val="Hyperlink"/>
            <w:noProof/>
          </w:rPr>
          <w:t>1.4.1 DEER Base Case and Measure Case Information</w:t>
        </w:r>
        <w:r>
          <w:rPr>
            <w:noProof/>
            <w:webHidden/>
          </w:rPr>
          <w:tab/>
        </w:r>
        <w:r>
          <w:rPr>
            <w:noProof/>
            <w:webHidden/>
          </w:rPr>
          <w:fldChar w:fldCharType="begin"/>
        </w:r>
        <w:r>
          <w:rPr>
            <w:noProof/>
            <w:webHidden/>
          </w:rPr>
          <w:instrText xml:space="preserve"> PAGEREF _Toc436750798 \h </w:instrText>
        </w:r>
        <w:r>
          <w:rPr>
            <w:noProof/>
            <w:webHidden/>
          </w:rPr>
        </w:r>
        <w:r>
          <w:rPr>
            <w:noProof/>
            <w:webHidden/>
          </w:rPr>
          <w:fldChar w:fldCharType="separate"/>
        </w:r>
        <w:r>
          <w:rPr>
            <w:noProof/>
            <w:webHidden/>
          </w:rPr>
          <w:t>2</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799" w:history="1">
        <w:r w:rsidRPr="004D25CC">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_Toc436750799 \h </w:instrText>
        </w:r>
        <w:r>
          <w:rPr>
            <w:noProof/>
            <w:webHidden/>
          </w:rPr>
        </w:r>
        <w:r>
          <w:rPr>
            <w:noProof/>
            <w:webHidden/>
          </w:rPr>
          <w:fldChar w:fldCharType="separate"/>
        </w:r>
        <w:r>
          <w:rPr>
            <w:noProof/>
            <w:webHidden/>
          </w:rPr>
          <w:t>3</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0" w:history="1">
        <w:r w:rsidRPr="004D25CC">
          <w:rPr>
            <w:rStyle w:val="Hyperlink"/>
            <w:noProof/>
          </w:rPr>
          <w:t>1.4.4 Assumptions and Calculations from other sources Base and Measure Cases</w:t>
        </w:r>
        <w:r>
          <w:rPr>
            <w:noProof/>
            <w:webHidden/>
          </w:rPr>
          <w:tab/>
        </w:r>
        <w:r>
          <w:rPr>
            <w:noProof/>
            <w:webHidden/>
          </w:rPr>
          <w:fldChar w:fldCharType="begin"/>
        </w:r>
        <w:r>
          <w:rPr>
            <w:noProof/>
            <w:webHidden/>
          </w:rPr>
          <w:instrText xml:space="preserve"> PAGEREF _Toc436750800 \h </w:instrText>
        </w:r>
        <w:r>
          <w:rPr>
            <w:noProof/>
            <w:webHidden/>
          </w:rPr>
        </w:r>
        <w:r>
          <w:rPr>
            <w:noProof/>
            <w:webHidden/>
          </w:rPr>
          <w:fldChar w:fldCharType="separate"/>
        </w:r>
        <w:r>
          <w:rPr>
            <w:noProof/>
            <w:webHidden/>
          </w:rPr>
          <w:t>3</w:t>
        </w:r>
        <w:r>
          <w:rPr>
            <w:noProof/>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801" w:history="1">
        <w:r w:rsidRPr="004D25CC">
          <w:rPr>
            <w:rStyle w:val="Hyperlink"/>
          </w:rPr>
          <w:t>Section 2. Calculation Methods</w:t>
        </w:r>
        <w:r>
          <w:rPr>
            <w:webHidden/>
          </w:rPr>
          <w:tab/>
        </w:r>
        <w:r>
          <w:rPr>
            <w:webHidden/>
          </w:rPr>
          <w:fldChar w:fldCharType="begin"/>
        </w:r>
        <w:r>
          <w:rPr>
            <w:webHidden/>
          </w:rPr>
          <w:instrText xml:space="preserve"> PAGEREF _Toc436750801 \h </w:instrText>
        </w:r>
        <w:r>
          <w:rPr>
            <w:webHidden/>
          </w:rPr>
        </w:r>
        <w:r>
          <w:rPr>
            <w:webHidden/>
          </w:rPr>
          <w:fldChar w:fldCharType="separate"/>
        </w:r>
        <w:r>
          <w:rPr>
            <w:webHidden/>
          </w:rPr>
          <w:t>4</w:t>
        </w:r>
        <w:r>
          <w:rPr>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2" w:history="1">
        <w:r w:rsidRPr="004D25CC">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_Toc436750802 \h </w:instrText>
        </w:r>
        <w:r>
          <w:rPr>
            <w:noProof/>
            <w:webHidden/>
          </w:rPr>
        </w:r>
        <w:r>
          <w:rPr>
            <w:noProof/>
            <w:webHidden/>
          </w:rPr>
          <w:fldChar w:fldCharType="separate"/>
        </w:r>
        <w:r>
          <w:rPr>
            <w:noProof/>
            <w:webHidden/>
          </w:rPr>
          <w:t>4</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3" w:history="1">
        <w:r w:rsidRPr="004D25CC">
          <w:rPr>
            <w:rStyle w:val="Hyperlink"/>
            <w:noProof/>
          </w:rPr>
          <w:t>2.2. Demand Reduction Estimation Methodologies</w:t>
        </w:r>
        <w:r>
          <w:rPr>
            <w:noProof/>
            <w:webHidden/>
          </w:rPr>
          <w:tab/>
        </w:r>
        <w:r>
          <w:rPr>
            <w:noProof/>
            <w:webHidden/>
          </w:rPr>
          <w:fldChar w:fldCharType="begin"/>
        </w:r>
        <w:r>
          <w:rPr>
            <w:noProof/>
            <w:webHidden/>
          </w:rPr>
          <w:instrText xml:space="preserve"> PAGEREF _Toc436750803 \h </w:instrText>
        </w:r>
        <w:r>
          <w:rPr>
            <w:noProof/>
            <w:webHidden/>
          </w:rPr>
        </w:r>
        <w:r>
          <w:rPr>
            <w:noProof/>
            <w:webHidden/>
          </w:rPr>
          <w:fldChar w:fldCharType="separate"/>
        </w:r>
        <w:r>
          <w:rPr>
            <w:noProof/>
            <w:webHidden/>
          </w:rPr>
          <w:t>4</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4" w:history="1">
        <w:r w:rsidRPr="004D25CC">
          <w:rPr>
            <w:rStyle w:val="Hyperlink"/>
            <w:noProof/>
          </w:rPr>
          <w:t>2.3. Gas Energy Savings Estimation Methodologies</w:t>
        </w:r>
        <w:r>
          <w:rPr>
            <w:noProof/>
            <w:webHidden/>
          </w:rPr>
          <w:tab/>
        </w:r>
        <w:r>
          <w:rPr>
            <w:noProof/>
            <w:webHidden/>
          </w:rPr>
          <w:fldChar w:fldCharType="begin"/>
        </w:r>
        <w:r>
          <w:rPr>
            <w:noProof/>
            <w:webHidden/>
          </w:rPr>
          <w:instrText xml:space="preserve"> PAGEREF _Toc436750804 \h </w:instrText>
        </w:r>
        <w:r>
          <w:rPr>
            <w:noProof/>
            <w:webHidden/>
          </w:rPr>
        </w:r>
        <w:r>
          <w:rPr>
            <w:noProof/>
            <w:webHidden/>
          </w:rPr>
          <w:fldChar w:fldCharType="separate"/>
        </w:r>
        <w:r>
          <w:rPr>
            <w:noProof/>
            <w:webHidden/>
          </w:rPr>
          <w:t>4</w:t>
        </w:r>
        <w:r>
          <w:rPr>
            <w:noProof/>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805" w:history="1">
        <w:r w:rsidRPr="004D25CC">
          <w:rPr>
            <w:rStyle w:val="Hyperlink"/>
          </w:rPr>
          <w:t>Section 3. Load Shapes</w:t>
        </w:r>
        <w:r>
          <w:rPr>
            <w:webHidden/>
          </w:rPr>
          <w:tab/>
        </w:r>
        <w:r>
          <w:rPr>
            <w:webHidden/>
          </w:rPr>
          <w:fldChar w:fldCharType="begin"/>
        </w:r>
        <w:r>
          <w:rPr>
            <w:webHidden/>
          </w:rPr>
          <w:instrText xml:space="preserve"> PAGEREF _Toc436750805 \h </w:instrText>
        </w:r>
        <w:r>
          <w:rPr>
            <w:webHidden/>
          </w:rPr>
        </w:r>
        <w:r>
          <w:rPr>
            <w:webHidden/>
          </w:rPr>
          <w:fldChar w:fldCharType="separate"/>
        </w:r>
        <w:r>
          <w:rPr>
            <w:webHidden/>
          </w:rPr>
          <w:t>5</w:t>
        </w:r>
        <w:r>
          <w:rPr>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6" w:history="1">
        <w:r w:rsidRPr="004D25CC">
          <w:rPr>
            <w:rStyle w:val="Hyperlink"/>
            <w:noProof/>
          </w:rPr>
          <w:t>3.1 Base Case Load Shapes</w:t>
        </w:r>
        <w:r>
          <w:rPr>
            <w:noProof/>
            <w:webHidden/>
          </w:rPr>
          <w:tab/>
        </w:r>
        <w:r>
          <w:rPr>
            <w:noProof/>
            <w:webHidden/>
          </w:rPr>
          <w:fldChar w:fldCharType="begin"/>
        </w:r>
        <w:r>
          <w:rPr>
            <w:noProof/>
            <w:webHidden/>
          </w:rPr>
          <w:instrText xml:space="preserve"> PAGEREF _Toc436750806 \h </w:instrText>
        </w:r>
        <w:r>
          <w:rPr>
            <w:noProof/>
            <w:webHidden/>
          </w:rPr>
        </w:r>
        <w:r>
          <w:rPr>
            <w:noProof/>
            <w:webHidden/>
          </w:rPr>
          <w:fldChar w:fldCharType="separate"/>
        </w:r>
        <w:r>
          <w:rPr>
            <w:noProof/>
            <w:webHidden/>
          </w:rPr>
          <w:t>5</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7" w:history="1">
        <w:r w:rsidRPr="004D25CC">
          <w:rPr>
            <w:rStyle w:val="Hyperlink"/>
            <w:noProof/>
          </w:rPr>
          <w:t>3.2 Measure Load Shapes</w:t>
        </w:r>
        <w:r>
          <w:rPr>
            <w:noProof/>
            <w:webHidden/>
          </w:rPr>
          <w:tab/>
        </w:r>
        <w:r>
          <w:rPr>
            <w:noProof/>
            <w:webHidden/>
          </w:rPr>
          <w:fldChar w:fldCharType="begin"/>
        </w:r>
        <w:r>
          <w:rPr>
            <w:noProof/>
            <w:webHidden/>
          </w:rPr>
          <w:instrText xml:space="preserve"> PAGEREF _Toc436750807 \h </w:instrText>
        </w:r>
        <w:r>
          <w:rPr>
            <w:noProof/>
            <w:webHidden/>
          </w:rPr>
        </w:r>
        <w:r>
          <w:rPr>
            <w:noProof/>
            <w:webHidden/>
          </w:rPr>
          <w:fldChar w:fldCharType="separate"/>
        </w:r>
        <w:r>
          <w:rPr>
            <w:noProof/>
            <w:webHidden/>
          </w:rPr>
          <w:t>5</w:t>
        </w:r>
        <w:r>
          <w:rPr>
            <w:noProof/>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808" w:history="1">
        <w:r w:rsidRPr="004D25CC">
          <w:rPr>
            <w:rStyle w:val="Hyperlink"/>
          </w:rPr>
          <w:t>Section 4. Base Case &amp; Measure Costs</w:t>
        </w:r>
        <w:r>
          <w:rPr>
            <w:webHidden/>
          </w:rPr>
          <w:tab/>
        </w:r>
        <w:r>
          <w:rPr>
            <w:webHidden/>
          </w:rPr>
          <w:fldChar w:fldCharType="begin"/>
        </w:r>
        <w:r>
          <w:rPr>
            <w:webHidden/>
          </w:rPr>
          <w:instrText xml:space="preserve"> PAGEREF _Toc436750808 \h </w:instrText>
        </w:r>
        <w:r>
          <w:rPr>
            <w:webHidden/>
          </w:rPr>
        </w:r>
        <w:r>
          <w:rPr>
            <w:webHidden/>
          </w:rPr>
          <w:fldChar w:fldCharType="separate"/>
        </w:r>
        <w:r>
          <w:rPr>
            <w:webHidden/>
          </w:rPr>
          <w:t>6</w:t>
        </w:r>
        <w:r>
          <w:rPr>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09" w:history="1">
        <w:r w:rsidRPr="004D25CC">
          <w:rPr>
            <w:rStyle w:val="Hyperlink"/>
            <w:noProof/>
          </w:rPr>
          <w:t>4.1 Base Cases Costs</w:t>
        </w:r>
        <w:r>
          <w:rPr>
            <w:noProof/>
            <w:webHidden/>
          </w:rPr>
          <w:tab/>
        </w:r>
        <w:r>
          <w:rPr>
            <w:noProof/>
            <w:webHidden/>
          </w:rPr>
          <w:fldChar w:fldCharType="begin"/>
        </w:r>
        <w:r>
          <w:rPr>
            <w:noProof/>
            <w:webHidden/>
          </w:rPr>
          <w:instrText xml:space="preserve"> PAGEREF _Toc436750809 \h </w:instrText>
        </w:r>
        <w:r>
          <w:rPr>
            <w:noProof/>
            <w:webHidden/>
          </w:rPr>
        </w:r>
        <w:r>
          <w:rPr>
            <w:noProof/>
            <w:webHidden/>
          </w:rPr>
          <w:fldChar w:fldCharType="separate"/>
        </w:r>
        <w:r>
          <w:rPr>
            <w:noProof/>
            <w:webHidden/>
          </w:rPr>
          <w:t>6</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10" w:history="1">
        <w:r w:rsidRPr="004D25CC">
          <w:rPr>
            <w:rStyle w:val="Hyperlink"/>
            <w:noProof/>
          </w:rPr>
          <w:t>4.2 Measure Costs</w:t>
        </w:r>
        <w:r>
          <w:rPr>
            <w:noProof/>
            <w:webHidden/>
          </w:rPr>
          <w:tab/>
        </w:r>
        <w:r>
          <w:rPr>
            <w:noProof/>
            <w:webHidden/>
          </w:rPr>
          <w:fldChar w:fldCharType="begin"/>
        </w:r>
        <w:r>
          <w:rPr>
            <w:noProof/>
            <w:webHidden/>
          </w:rPr>
          <w:instrText xml:space="preserve"> PAGEREF _Toc436750810 \h </w:instrText>
        </w:r>
        <w:r>
          <w:rPr>
            <w:noProof/>
            <w:webHidden/>
          </w:rPr>
        </w:r>
        <w:r>
          <w:rPr>
            <w:noProof/>
            <w:webHidden/>
          </w:rPr>
          <w:fldChar w:fldCharType="separate"/>
        </w:r>
        <w:r>
          <w:rPr>
            <w:noProof/>
            <w:webHidden/>
          </w:rPr>
          <w:t>6</w:t>
        </w:r>
        <w:r>
          <w:rPr>
            <w:noProof/>
            <w:webHidden/>
          </w:rPr>
          <w:fldChar w:fldCharType="end"/>
        </w:r>
      </w:hyperlink>
    </w:p>
    <w:p w:rsidR="00793116" w:rsidRDefault="00793116">
      <w:pPr>
        <w:pStyle w:val="TOC2"/>
        <w:tabs>
          <w:tab w:val="right" w:leader="dot" w:pos="9350"/>
        </w:tabs>
        <w:rPr>
          <w:rFonts w:asciiTheme="minorHAnsi" w:eastAsiaTheme="minorEastAsia" w:hAnsiTheme="minorHAnsi" w:cstheme="minorBidi"/>
          <w:noProof/>
          <w:sz w:val="22"/>
          <w:szCs w:val="22"/>
        </w:rPr>
      </w:pPr>
      <w:hyperlink w:anchor="_Toc436750811" w:history="1">
        <w:r w:rsidRPr="004D25CC">
          <w:rPr>
            <w:rStyle w:val="Hyperlink"/>
            <w:noProof/>
          </w:rPr>
          <w:t>4.3 Incremental &amp; Full Measure Costs</w:t>
        </w:r>
        <w:r>
          <w:rPr>
            <w:noProof/>
            <w:webHidden/>
          </w:rPr>
          <w:tab/>
        </w:r>
        <w:r>
          <w:rPr>
            <w:noProof/>
            <w:webHidden/>
          </w:rPr>
          <w:fldChar w:fldCharType="begin"/>
        </w:r>
        <w:r>
          <w:rPr>
            <w:noProof/>
            <w:webHidden/>
          </w:rPr>
          <w:instrText xml:space="preserve"> PAGEREF _Toc436750811 \h </w:instrText>
        </w:r>
        <w:r>
          <w:rPr>
            <w:noProof/>
            <w:webHidden/>
          </w:rPr>
        </w:r>
        <w:r>
          <w:rPr>
            <w:noProof/>
            <w:webHidden/>
          </w:rPr>
          <w:fldChar w:fldCharType="separate"/>
        </w:r>
        <w:r>
          <w:rPr>
            <w:noProof/>
            <w:webHidden/>
          </w:rPr>
          <w:t>7</w:t>
        </w:r>
        <w:r>
          <w:rPr>
            <w:noProof/>
            <w:webHidden/>
          </w:rPr>
          <w:fldChar w:fldCharType="end"/>
        </w:r>
      </w:hyperlink>
    </w:p>
    <w:p w:rsidR="00793116" w:rsidRDefault="00793116">
      <w:pPr>
        <w:pStyle w:val="TOC1"/>
        <w:rPr>
          <w:rFonts w:asciiTheme="minorHAnsi" w:eastAsiaTheme="minorEastAsia" w:hAnsiTheme="minorHAnsi" w:cstheme="minorBidi"/>
          <w:b w:val="0"/>
          <w:bCs w:val="0"/>
          <w:sz w:val="22"/>
          <w:szCs w:val="22"/>
        </w:rPr>
      </w:pPr>
      <w:hyperlink w:anchor="_Toc436750812" w:history="1">
        <w:r w:rsidRPr="004D25CC">
          <w:rPr>
            <w:rStyle w:val="Hyperlink"/>
          </w:rPr>
          <w:t>References</w:t>
        </w:r>
        <w:r>
          <w:rPr>
            <w:webHidden/>
          </w:rPr>
          <w:tab/>
        </w:r>
        <w:r>
          <w:rPr>
            <w:webHidden/>
          </w:rPr>
          <w:fldChar w:fldCharType="begin"/>
        </w:r>
        <w:r>
          <w:rPr>
            <w:webHidden/>
          </w:rPr>
          <w:instrText xml:space="preserve"> PAGEREF _Toc436750812 \h </w:instrText>
        </w:r>
        <w:r>
          <w:rPr>
            <w:webHidden/>
          </w:rPr>
        </w:r>
        <w:r>
          <w:rPr>
            <w:webHidden/>
          </w:rPr>
          <w:fldChar w:fldCharType="separate"/>
        </w:r>
        <w:r>
          <w:rPr>
            <w:webHidden/>
          </w:rPr>
          <w:t>8</w:t>
        </w:r>
        <w:r>
          <w:rPr>
            <w:webHidden/>
          </w:rPr>
          <w:fldChar w:fldCharType="end"/>
        </w:r>
      </w:hyperlink>
    </w:p>
    <w:p w:rsidR="00FF1EC7" w:rsidRDefault="00FF1EC7" w:rsidP="00580F3B">
      <w:pPr>
        <w:sectPr w:rsidR="00FF1EC7">
          <w:headerReference w:type="even" r:id="rId23"/>
          <w:headerReference w:type="default" r:id="rId24"/>
          <w:footerReference w:type="even" r:id="rId25"/>
          <w:headerReference w:type="first" r:id="rId26"/>
          <w:footerReference w:type="first" r:id="rId27"/>
          <w:endnotePr>
            <w:numFmt w:val="decimal"/>
          </w:endnotePr>
          <w:type w:val="continuous"/>
          <w:pgSz w:w="12240" w:h="15840"/>
          <w:pgMar w:top="1440" w:right="1440" w:bottom="1440" w:left="1440" w:header="720" w:footer="720" w:gutter="0"/>
          <w:pgNumType w:fmt="lowerRoman"/>
          <w:cols w:space="720"/>
          <w:docGrid w:linePitch="360"/>
        </w:sectPr>
      </w:pPr>
      <w:r w:rsidRPr="00F75566">
        <w:rPr>
          <w:bCs/>
        </w:rPr>
        <w:fldChar w:fldCharType="end"/>
      </w:r>
    </w:p>
    <w:p w:rsidR="00FF1EC7" w:rsidRDefault="00FF1EC7" w:rsidP="00580F3B">
      <w:pPr>
        <w:pStyle w:val="Heading1"/>
      </w:pPr>
      <w:bookmarkStart w:id="8" w:name="_Toc172205729"/>
      <w:bookmarkStart w:id="9" w:name="_Toc186621652"/>
      <w:bookmarkStart w:id="10" w:name="_Toc172205732"/>
      <w:bookmarkStart w:id="11" w:name="_Toc436750792"/>
      <w:r>
        <w:lastRenderedPageBreak/>
        <w:t>List of Tables</w:t>
      </w:r>
      <w:bookmarkEnd w:id="8"/>
      <w:bookmarkEnd w:id="9"/>
      <w:bookmarkEnd w:id="11"/>
    </w:p>
    <w:p w:rsidR="00793116" w:rsidRDefault="00FF1EC7">
      <w:pPr>
        <w:pStyle w:val="TableofFigures"/>
        <w:tabs>
          <w:tab w:val="right" w:leader="dot" w:pos="9350"/>
        </w:tabs>
        <w:rPr>
          <w:rFonts w:asciiTheme="minorHAnsi" w:eastAsiaTheme="minorEastAsia" w:hAnsiTheme="minorHAnsi" w:cstheme="minorBidi"/>
          <w:noProof/>
          <w:sz w:val="22"/>
          <w:szCs w:val="22"/>
        </w:rPr>
      </w:pPr>
      <w:r w:rsidRPr="00DF688E">
        <w:rPr>
          <w:rFonts w:ascii="Arial" w:hAnsi="Arial" w:cs="Arial"/>
          <w:sz w:val="20"/>
          <w:szCs w:val="20"/>
        </w:rPr>
        <w:fldChar w:fldCharType="begin"/>
      </w:r>
      <w:r w:rsidRPr="00DF688E">
        <w:rPr>
          <w:rFonts w:ascii="Arial" w:hAnsi="Arial" w:cs="Arial"/>
          <w:sz w:val="20"/>
          <w:szCs w:val="20"/>
        </w:rPr>
        <w:instrText xml:space="preserve"> TOC \h \z \c "Table" </w:instrText>
      </w:r>
      <w:r w:rsidRPr="00DF688E">
        <w:rPr>
          <w:rFonts w:ascii="Arial" w:hAnsi="Arial" w:cs="Arial"/>
          <w:sz w:val="20"/>
          <w:szCs w:val="20"/>
        </w:rPr>
        <w:fldChar w:fldCharType="separate"/>
      </w:r>
      <w:hyperlink w:anchor="_Toc436750783" w:history="1">
        <w:r w:rsidR="00793116" w:rsidRPr="007909A9">
          <w:rPr>
            <w:rStyle w:val="Hyperlink"/>
            <w:noProof/>
          </w:rPr>
          <w:t>Table 1 Measure Application Type</w:t>
        </w:r>
        <w:r w:rsidR="00793116">
          <w:rPr>
            <w:noProof/>
            <w:webHidden/>
          </w:rPr>
          <w:tab/>
        </w:r>
        <w:r w:rsidR="00793116">
          <w:rPr>
            <w:noProof/>
            <w:webHidden/>
          </w:rPr>
          <w:fldChar w:fldCharType="begin"/>
        </w:r>
        <w:r w:rsidR="00793116">
          <w:rPr>
            <w:noProof/>
            <w:webHidden/>
          </w:rPr>
          <w:instrText xml:space="preserve"> PAGEREF _Toc436750783 \h </w:instrText>
        </w:r>
        <w:r w:rsidR="00793116">
          <w:rPr>
            <w:noProof/>
            <w:webHidden/>
          </w:rPr>
        </w:r>
        <w:r w:rsidR="00793116">
          <w:rPr>
            <w:noProof/>
            <w:webHidden/>
          </w:rPr>
          <w:fldChar w:fldCharType="separate"/>
        </w:r>
        <w:r w:rsidR="00793116">
          <w:rPr>
            <w:noProof/>
            <w:webHidden/>
          </w:rPr>
          <w:t>1</w:t>
        </w:r>
        <w:r w:rsidR="00793116">
          <w:rPr>
            <w:noProof/>
            <w:webHidden/>
          </w:rPr>
          <w:fldChar w:fldCharType="end"/>
        </w:r>
      </w:hyperlink>
    </w:p>
    <w:p w:rsidR="00793116" w:rsidRDefault="00793116">
      <w:pPr>
        <w:pStyle w:val="TableofFigures"/>
        <w:tabs>
          <w:tab w:val="right" w:leader="dot" w:pos="9350"/>
        </w:tabs>
        <w:rPr>
          <w:rFonts w:asciiTheme="minorHAnsi" w:eastAsiaTheme="minorEastAsia" w:hAnsiTheme="minorHAnsi" w:cstheme="minorBidi"/>
          <w:noProof/>
          <w:sz w:val="22"/>
          <w:szCs w:val="22"/>
        </w:rPr>
      </w:pPr>
      <w:hyperlink w:anchor="_Toc436750784" w:history="1">
        <w:r w:rsidRPr="007909A9">
          <w:rPr>
            <w:rStyle w:val="Hyperlink"/>
            <w:noProof/>
          </w:rPr>
          <w:t>Table 2 Hours of Operation and CDF for CFLs</w:t>
        </w:r>
        <w:r>
          <w:rPr>
            <w:noProof/>
            <w:webHidden/>
          </w:rPr>
          <w:tab/>
        </w:r>
        <w:r>
          <w:rPr>
            <w:noProof/>
            <w:webHidden/>
          </w:rPr>
          <w:fldChar w:fldCharType="begin"/>
        </w:r>
        <w:r>
          <w:rPr>
            <w:noProof/>
            <w:webHidden/>
          </w:rPr>
          <w:instrText xml:space="preserve"> PAGEREF _Toc436750784 \h </w:instrText>
        </w:r>
        <w:r>
          <w:rPr>
            <w:noProof/>
            <w:webHidden/>
          </w:rPr>
        </w:r>
        <w:r>
          <w:rPr>
            <w:noProof/>
            <w:webHidden/>
          </w:rPr>
          <w:fldChar w:fldCharType="separate"/>
        </w:r>
        <w:r>
          <w:rPr>
            <w:noProof/>
            <w:webHidden/>
          </w:rPr>
          <w:t>2</w:t>
        </w:r>
        <w:r>
          <w:rPr>
            <w:noProof/>
            <w:webHidden/>
          </w:rPr>
          <w:fldChar w:fldCharType="end"/>
        </w:r>
      </w:hyperlink>
    </w:p>
    <w:p w:rsidR="00793116" w:rsidRDefault="00793116">
      <w:pPr>
        <w:pStyle w:val="TableofFigures"/>
        <w:tabs>
          <w:tab w:val="right" w:leader="dot" w:pos="9350"/>
        </w:tabs>
        <w:rPr>
          <w:rFonts w:asciiTheme="minorHAnsi" w:eastAsiaTheme="minorEastAsia" w:hAnsiTheme="minorHAnsi" w:cstheme="minorBidi"/>
          <w:noProof/>
          <w:sz w:val="22"/>
          <w:szCs w:val="22"/>
        </w:rPr>
      </w:pPr>
      <w:hyperlink w:anchor="_Toc436750785" w:history="1">
        <w:r w:rsidRPr="007909A9">
          <w:rPr>
            <w:rStyle w:val="Hyperlink"/>
            <w:noProof/>
          </w:rPr>
          <w:t>Table 3 Net-to-Gross</w:t>
        </w:r>
        <w:r>
          <w:rPr>
            <w:noProof/>
            <w:webHidden/>
          </w:rPr>
          <w:tab/>
        </w:r>
        <w:r>
          <w:rPr>
            <w:noProof/>
            <w:webHidden/>
          </w:rPr>
          <w:fldChar w:fldCharType="begin"/>
        </w:r>
        <w:r>
          <w:rPr>
            <w:noProof/>
            <w:webHidden/>
          </w:rPr>
          <w:instrText xml:space="preserve"> PAGEREF _Toc436750785 \h </w:instrText>
        </w:r>
        <w:r>
          <w:rPr>
            <w:noProof/>
            <w:webHidden/>
          </w:rPr>
        </w:r>
        <w:r>
          <w:rPr>
            <w:noProof/>
            <w:webHidden/>
          </w:rPr>
          <w:fldChar w:fldCharType="separate"/>
        </w:r>
        <w:r>
          <w:rPr>
            <w:noProof/>
            <w:webHidden/>
          </w:rPr>
          <w:t>2</w:t>
        </w:r>
        <w:r>
          <w:rPr>
            <w:noProof/>
            <w:webHidden/>
          </w:rPr>
          <w:fldChar w:fldCharType="end"/>
        </w:r>
      </w:hyperlink>
    </w:p>
    <w:p w:rsidR="00793116" w:rsidRDefault="00793116">
      <w:pPr>
        <w:pStyle w:val="TableofFigures"/>
        <w:tabs>
          <w:tab w:val="right" w:leader="dot" w:pos="9350"/>
        </w:tabs>
        <w:rPr>
          <w:rFonts w:asciiTheme="minorHAnsi" w:eastAsiaTheme="minorEastAsia" w:hAnsiTheme="minorHAnsi" w:cstheme="minorBidi"/>
          <w:noProof/>
          <w:sz w:val="22"/>
          <w:szCs w:val="22"/>
        </w:rPr>
      </w:pPr>
      <w:hyperlink w:anchor="_Toc436750786" w:history="1">
        <w:r w:rsidRPr="007909A9">
          <w:rPr>
            <w:rStyle w:val="Hyperlink"/>
            <w:noProof/>
          </w:rPr>
          <w:t>Table 4 Installation Rate</w:t>
        </w:r>
        <w:r>
          <w:rPr>
            <w:noProof/>
            <w:webHidden/>
          </w:rPr>
          <w:tab/>
        </w:r>
        <w:r>
          <w:rPr>
            <w:noProof/>
            <w:webHidden/>
          </w:rPr>
          <w:fldChar w:fldCharType="begin"/>
        </w:r>
        <w:r>
          <w:rPr>
            <w:noProof/>
            <w:webHidden/>
          </w:rPr>
          <w:instrText xml:space="preserve"> PAGEREF _Toc436750786 \h </w:instrText>
        </w:r>
        <w:r>
          <w:rPr>
            <w:noProof/>
            <w:webHidden/>
          </w:rPr>
        </w:r>
        <w:r>
          <w:rPr>
            <w:noProof/>
            <w:webHidden/>
          </w:rPr>
          <w:fldChar w:fldCharType="separate"/>
        </w:r>
        <w:r>
          <w:rPr>
            <w:noProof/>
            <w:webHidden/>
          </w:rPr>
          <w:t>2</w:t>
        </w:r>
        <w:r>
          <w:rPr>
            <w:noProof/>
            <w:webHidden/>
          </w:rPr>
          <w:fldChar w:fldCharType="end"/>
        </w:r>
      </w:hyperlink>
    </w:p>
    <w:p w:rsidR="00793116" w:rsidRDefault="00793116">
      <w:pPr>
        <w:pStyle w:val="TableofFigures"/>
        <w:tabs>
          <w:tab w:val="right" w:leader="dot" w:pos="9350"/>
        </w:tabs>
        <w:rPr>
          <w:rFonts w:asciiTheme="minorHAnsi" w:eastAsiaTheme="minorEastAsia" w:hAnsiTheme="minorHAnsi" w:cstheme="minorBidi"/>
          <w:noProof/>
          <w:sz w:val="22"/>
          <w:szCs w:val="22"/>
        </w:rPr>
      </w:pPr>
      <w:hyperlink w:anchor="_Toc436750787" w:history="1">
        <w:r w:rsidRPr="007909A9">
          <w:rPr>
            <w:rStyle w:val="Hyperlink"/>
            <w:noProof/>
          </w:rPr>
          <w:t>Table 5 Effective Useful Life</w:t>
        </w:r>
        <w:r>
          <w:rPr>
            <w:noProof/>
            <w:webHidden/>
          </w:rPr>
          <w:tab/>
        </w:r>
        <w:r>
          <w:rPr>
            <w:noProof/>
            <w:webHidden/>
          </w:rPr>
          <w:fldChar w:fldCharType="begin"/>
        </w:r>
        <w:r>
          <w:rPr>
            <w:noProof/>
            <w:webHidden/>
          </w:rPr>
          <w:instrText xml:space="preserve"> PAGEREF _Toc436750787 \h </w:instrText>
        </w:r>
        <w:r>
          <w:rPr>
            <w:noProof/>
            <w:webHidden/>
          </w:rPr>
        </w:r>
        <w:r>
          <w:rPr>
            <w:noProof/>
            <w:webHidden/>
          </w:rPr>
          <w:fldChar w:fldCharType="separate"/>
        </w:r>
        <w:r>
          <w:rPr>
            <w:noProof/>
            <w:webHidden/>
          </w:rPr>
          <w:t>3</w:t>
        </w:r>
        <w:r>
          <w:rPr>
            <w:noProof/>
            <w:webHidden/>
          </w:rPr>
          <w:fldChar w:fldCharType="end"/>
        </w:r>
      </w:hyperlink>
    </w:p>
    <w:p w:rsidR="00793116" w:rsidRDefault="00793116">
      <w:pPr>
        <w:pStyle w:val="TableofFigures"/>
        <w:tabs>
          <w:tab w:val="right" w:leader="dot" w:pos="9350"/>
        </w:tabs>
        <w:rPr>
          <w:rFonts w:asciiTheme="minorHAnsi" w:eastAsiaTheme="minorEastAsia" w:hAnsiTheme="minorHAnsi" w:cstheme="minorBidi"/>
          <w:noProof/>
          <w:sz w:val="22"/>
          <w:szCs w:val="22"/>
        </w:rPr>
      </w:pPr>
      <w:hyperlink w:anchor="_Toc436750788" w:history="1">
        <w:r w:rsidRPr="007909A9">
          <w:rPr>
            <w:rStyle w:val="Hyperlink"/>
            <w:noProof/>
          </w:rPr>
          <w:t>Table 6 Building Types and Load Shapes</w:t>
        </w:r>
        <w:r>
          <w:rPr>
            <w:noProof/>
            <w:webHidden/>
          </w:rPr>
          <w:tab/>
        </w:r>
        <w:r>
          <w:rPr>
            <w:noProof/>
            <w:webHidden/>
          </w:rPr>
          <w:fldChar w:fldCharType="begin"/>
        </w:r>
        <w:r>
          <w:rPr>
            <w:noProof/>
            <w:webHidden/>
          </w:rPr>
          <w:instrText xml:space="preserve"> PAGEREF _Toc436750788 \h </w:instrText>
        </w:r>
        <w:r>
          <w:rPr>
            <w:noProof/>
            <w:webHidden/>
          </w:rPr>
        </w:r>
        <w:r>
          <w:rPr>
            <w:noProof/>
            <w:webHidden/>
          </w:rPr>
          <w:fldChar w:fldCharType="separate"/>
        </w:r>
        <w:r>
          <w:rPr>
            <w:noProof/>
            <w:webHidden/>
          </w:rPr>
          <w:t>5</w:t>
        </w:r>
        <w:r>
          <w:rPr>
            <w:noProof/>
            <w:webHidden/>
          </w:rPr>
          <w:fldChar w:fldCharType="end"/>
        </w:r>
      </w:hyperlink>
    </w:p>
    <w:p w:rsidR="00E94D5E" w:rsidRDefault="00FF1EC7" w:rsidP="00793116">
      <w:pPr>
        <w:pStyle w:val="Heading1"/>
      </w:pPr>
      <w:r w:rsidRPr="00DF688E">
        <w:rPr>
          <w:sz w:val="20"/>
          <w:szCs w:val="20"/>
        </w:rPr>
        <w:fldChar w:fldCharType="end"/>
      </w:r>
    </w:p>
    <w:p w:rsidR="00DF688E" w:rsidRDefault="00DF688E" w:rsidP="00E94D5E">
      <w:pPr>
        <w:sectPr w:rsidR="00DF688E" w:rsidSect="00551367">
          <w:endnotePr>
            <w:numFmt w:val="decimal"/>
          </w:endnotePr>
          <w:type w:val="continuous"/>
          <w:pgSz w:w="12240" w:h="15840"/>
          <w:pgMar w:top="1440" w:right="1440" w:bottom="1440" w:left="1440" w:header="720" w:footer="720" w:gutter="0"/>
          <w:pgNumType w:chapStyle="1"/>
          <w:cols w:space="720"/>
          <w:docGrid w:linePitch="360"/>
        </w:sectPr>
      </w:pPr>
    </w:p>
    <w:p w:rsidR="00FF1EC7" w:rsidRDefault="00FF1EC7" w:rsidP="00580F3B">
      <w:pPr>
        <w:pStyle w:val="Heading1"/>
      </w:pPr>
      <w:bookmarkStart w:id="12" w:name="_Toc436750793"/>
      <w:proofErr w:type="gramStart"/>
      <w:r>
        <w:lastRenderedPageBreak/>
        <w:t>Section 1.</w:t>
      </w:r>
      <w:proofErr w:type="gramEnd"/>
      <w:r>
        <w:t xml:space="preserve"> General Measure &amp; Baseline Data</w:t>
      </w:r>
      <w:bookmarkEnd w:id="12"/>
    </w:p>
    <w:p w:rsidR="00FF1EC7" w:rsidRDefault="00FF1EC7" w:rsidP="00580F3B">
      <w:pPr>
        <w:pStyle w:val="Heading2"/>
      </w:pPr>
      <w:bookmarkStart w:id="13" w:name="_Toc436750794"/>
      <w:bookmarkEnd w:id="10"/>
      <w:r>
        <w:t xml:space="preserve">1.1 </w:t>
      </w:r>
      <w:r w:rsidR="003244F5">
        <w:t xml:space="preserve">Product </w:t>
      </w:r>
      <w:r>
        <w:t>Measure Description &amp; Background</w:t>
      </w:r>
      <w:bookmarkEnd w:id="13"/>
    </w:p>
    <w:p w:rsidR="00FF1EC7" w:rsidRPr="00580F3B" w:rsidRDefault="00FF1EC7" w:rsidP="00580F3B">
      <w:pPr>
        <w:autoSpaceDE w:val="0"/>
        <w:autoSpaceDN w:val="0"/>
        <w:adjustRightInd w:val="0"/>
        <w:rPr>
          <w:b/>
        </w:rPr>
      </w:pPr>
      <w:r w:rsidRPr="00E8444B">
        <w:rPr>
          <w:b/>
          <w:i/>
        </w:rPr>
        <w:t>Catalog</w:t>
      </w:r>
      <w:r w:rsidRPr="00580F3B">
        <w:rPr>
          <w:rFonts w:ascii="Arial" w:hAnsi="Arial" w:cs="Arial"/>
          <w:b/>
          <w:i/>
        </w:rPr>
        <w:t xml:space="preserve"> </w:t>
      </w:r>
      <w:r w:rsidRPr="00580F3B">
        <w:rPr>
          <w:b/>
          <w:i/>
        </w:rPr>
        <w:t>Description –</w:t>
      </w:r>
      <w:r w:rsidRPr="00580F3B">
        <w:rPr>
          <w:b/>
        </w:rPr>
        <w:t xml:space="preserve"> </w:t>
      </w:r>
      <w:r w:rsidRPr="00580F3B">
        <w:t xml:space="preserve">Must replace an existing incandescent fixture that is rated greater than or equal to 60 watts and is attached to tenant dwelling, such as porch lights </w:t>
      </w:r>
      <w:r w:rsidR="00EF45E7">
        <w:t>and</w:t>
      </w:r>
      <w:r w:rsidRPr="00580F3B">
        <w:t xml:space="preserve"> common area (e.g., walkways, carport/garage).  </w:t>
      </w:r>
    </w:p>
    <w:p w:rsidR="00E8444B" w:rsidRDefault="00E8444B" w:rsidP="00580F3B">
      <w:pPr>
        <w:rPr>
          <w:b/>
          <w:i/>
        </w:rPr>
      </w:pPr>
    </w:p>
    <w:p w:rsidR="00FF1EC7" w:rsidRPr="00580F3B" w:rsidRDefault="00FF1EC7" w:rsidP="00580F3B">
      <w:pPr>
        <w:rPr>
          <w:b/>
          <w:i/>
        </w:rPr>
      </w:pPr>
      <w:r w:rsidRPr="00580F3B">
        <w:rPr>
          <w:b/>
          <w:i/>
        </w:rPr>
        <w:t>Program Restrictions and Guidelines</w:t>
      </w:r>
    </w:p>
    <w:p w:rsidR="00FF1EC7" w:rsidRPr="00580F3B" w:rsidRDefault="00FF1EC7" w:rsidP="00580F3B">
      <w:pPr>
        <w:autoSpaceDE w:val="0"/>
        <w:autoSpaceDN w:val="0"/>
        <w:adjustRightInd w:val="0"/>
        <w:ind w:firstLine="720"/>
        <w:rPr>
          <w:b/>
          <w:i/>
        </w:rPr>
      </w:pPr>
      <w:r w:rsidRPr="00580F3B">
        <w:rPr>
          <w:b/>
          <w:i/>
        </w:rPr>
        <w:t xml:space="preserve">Terms and Conditions: </w:t>
      </w:r>
    </w:p>
    <w:p w:rsidR="00FF1EC7" w:rsidRPr="00580F3B" w:rsidRDefault="00FF1EC7" w:rsidP="00580F3B">
      <w:pPr>
        <w:autoSpaceDE w:val="0"/>
        <w:autoSpaceDN w:val="0"/>
        <w:adjustRightInd w:val="0"/>
        <w:ind w:firstLine="720"/>
      </w:pPr>
      <w:r w:rsidRPr="00580F3B">
        <w:t xml:space="preserve">Make and model number must be included with a copy of receipt.  </w:t>
      </w:r>
    </w:p>
    <w:p w:rsidR="00FF1EC7" w:rsidRPr="00580F3B" w:rsidRDefault="00FF1EC7" w:rsidP="00580F3B">
      <w:pPr>
        <w:ind w:left="720"/>
        <w:rPr>
          <w:b/>
          <w:i/>
        </w:rPr>
      </w:pPr>
      <w:r w:rsidRPr="00580F3B">
        <w:rPr>
          <w:b/>
          <w:i/>
        </w:rPr>
        <w:t xml:space="preserve">Market Applicability: </w:t>
      </w:r>
    </w:p>
    <w:p w:rsidR="004E2334" w:rsidRDefault="00FF1EC7" w:rsidP="00DF688E">
      <w:pPr>
        <w:ind w:left="720"/>
      </w:pPr>
      <w:r w:rsidRPr="00580F3B">
        <w:t>Measure applies to multifamily residences only.</w:t>
      </w:r>
    </w:p>
    <w:p w:rsidR="004E2334" w:rsidRDefault="004E2334" w:rsidP="004E2334"/>
    <w:p w:rsidR="004E2334" w:rsidRPr="004E2334" w:rsidRDefault="004E2334" w:rsidP="004E2334">
      <w:r w:rsidRPr="004E2334">
        <w:t>The multifamily</w:t>
      </w:r>
      <w:r>
        <w:t xml:space="preserve"> downstream</w:t>
      </w:r>
      <w:r w:rsidRPr="004E2334">
        <w:t xml:space="preserve"> program encourages residential customers to replace an existing incandescent fixture that is rated greater than 60 watts and is attached to tenant dwelling (L811), such as porch lights and common area (e.g., walkways, carport/garage) (L855).</w:t>
      </w:r>
    </w:p>
    <w:p w:rsidR="00BD4801" w:rsidRDefault="00BD4801" w:rsidP="00BD4801">
      <w:pPr>
        <w:pStyle w:val="Heading2"/>
      </w:pPr>
      <w:bookmarkStart w:id="14" w:name="_Toc191278368"/>
      <w:bookmarkStart w:id="15" w:name="_Toc237232676"/>
      <w:bookmarkStart w:id="16" w:name="_Toc436750795"/>
      <w:r>
        <w:t>1.2</w:t>
      </w:r>
      <w:bookmarkStart w:id="17" w:name="_Toc387827815"/>
      <w:bookmarkEnd w:id="14"/>
      <w:bookmarkEnd w:id="15"/>
      <w:r w:rsidR="003244F5">
        <w:t xml:space="preserve"> Product Technical Description</w:t>
      </w:r>
      <w:bookmarkEnd w:id="17"/>
      <w:bookmarkEnd w:id="16"/>
    </w:p>
    <w:p w:rsidR="00E8444B" w:rsidRDefault="00E8444B" w:rsidP="00EF7673">
      <w:r w:rsidRPr="00E8444B">
        <w:t>A lighting fixture with an incandescent lamp greater than or equal to 60 watt is replaced with a new hardwired fixture with a pin-based compact fluorescent lamp. Compact fluorescent lamps are more efficient than incandescent lamps and therefore provide similar illumination levels at lower wattage th</w:t>
      </w:r>
      <w:r w:rsidR="004E2334">
        <w:t>a</w:t>
      </w:r>
      <w:r w:rsidRPr="00E8444B">
        <w:t xml:space="preserve">n incandescent lamps.  This measure includes those fixtures attached to the tenant dwelling such as porch lights and common area lighting.  </w:t>
      </w:r>
    </w:p>
    <w:p w:rsidR="00697230" w:rsidRDefault="00697230" w:rsidP="00697230">
      <w:pPr>
        <w:pStyle w:val="Heading2"/>
      </w:pPr>
      <w:bookmarkStart w:id="18" w:name="_Toc387418971"/>
      <w:bookmarkStart w:id="19" w:name="_Toc387827817"/>
      <w:bookmarkStart w:id="20" w:name="_Toc436750796"/>
      <w:r>
        <w:t>1.3</w:t>
      </w:r>
      <w:r w:rsidRPr="001F0CA0">
        <w:t xml:space="preserve"> </w:t>
      </w:r>
      <w:r>
        <w:t>Measure Application Type</w:t>
      </w:r>
      <w:bookmarkEnd w:id="18"/>
      <w:bookmarkEnd w:id="19"/>
      <w:bookmarkEnd w:id="20"/>
    </w:p>
    <w:p w:rsidR="00697230" w:rsidRPr="00502494" w:rsidRDefault="00697230" w:rsidP="00697230">
      <w:pPr>
        <w:rPr>
          <w:rFonts w:ascii="Arial" w:hAnsi="Arial" w:cs="Arial"/>
          <w:sz w:val="20"/>
          <w:szCs w:val="20"/>
        </w:rPr>
      </w:pPr>
      <w:r w:rsidRPr="00697230">
        <w:t xml:space="preserve">The DEER Measure Cost Data Users Guide found on </w:t>
      </w:r>
      <w:hyperlink r:id="rId28" w:history="1">
        <w:r w:rsidRPr="00697230">
          <w:t>www.deeresources.com</w:t>
        </w:r>
      </w:hyperlink>
      <w:r w:rsidRPr="00697230">
        <w:t xml:space="preserve"> under DEER2011 Database Format hyperlink, DEER2011 for 13-14, spreadsheet SPTdata_format-V0.97.xls, defines the terms as follows:</w:t>
      </w:r>
    </w:p>
    <w:p w:rsidR="00697230" w:rsidRPr="00746B00" w:rsidRDefault="00697230" w:rsidP="00697230">
      <w:pPr>
        <w:rPr>
          <w:rFonts w:ascii="Arial" w:hAnsi="Arial" w:cs="Arial"/>
          <w:i/>
        </w:rPr>
      </w:pPr>
    </w:p>
    <w:p w:rsidR="00697230" w:rsidRPr="00697230" w:rsidRDefault="00697230" w:rsidP="00697230">
      <w:pPr>
        <w:pStyle w:val="Caption"/>
        <w:keepNext/>
        <w:rPr>
          <w:b w:val="0"/>
          <w:bCs w:val="0"/>
          <w:sz w:val="24"/>
          <w:szCs w:val="24"/>
        </w:rPr>
      </w:pPr>
      <w:bookmarkStart w:id="21" w:name="_Toc324427642"/>
      <w:bookmarkStart w:id="22" w:name="_Toc383697824"/>
      <w:bookmarkStart w:id="23" w:name="_Toc387418797"/>
      <w:bookmarkStart w:id="24" w:name="_Toc387827976"/>
      <w:bookmarkStart w:id="25" w:name="_Toc436750783"/>
      <w:r w:rsidRPr="00697230">
        <w:rPr>
          <w:b w:val="0"/>
          <w:bCs w:val="0"/>
          <w:sz w:val="24"/>
          <w:szCs w:val="24"/>
        </w:rPr>
        <w:t xml:space="preserve">Table </w:t>
      </w:r>
      <w:r w:rsidRPr="00697230">
        <w:rPr>
          <w:b w:val="0"/>
          <w:bCs w:val="0"/>
          <w:sz w:val="24"/>
          <w:szCs w:val="24"/>
        </w:rPr>
        <w:fldChar w:fldCharType="begin"/>
      </w:r>
      <w:r w:rsidRPr="00697230">
        <w:rPr>
          <w:b w:val="0"/>
          <w:bCs w:val="0"/>
          <w:sz w:val="24"/>
          <w:szCs w:val="24"/>
        </w:rPr>
        <w:instrText xml:space="preserve"> SEQ Table \* ARABIC </w:instrText>
      </w:r>
      <w:r w:rsidRPr="00697230">
        <w:rPr>
          <w:b w:val="0"/>
          <w:bCs w:val="0"/>
          <w:sz w:val="24"/>
          <w:szCs w:val="24"/>
        </w:rPr>
        <w:fldChar w:fldCharType="separate"/>
      </w:r>
      <w:r w:rsidR="009C59BE">
        <w:rPr>
          <w:b w:val="0"/>
          <w:bCs w:val="0"/>
          <w:noProof/>
          <w:sz w:val="24"/>
          <w:szCs w:val="24"/>
        </w:rPr>
        <w:t>1</w:t>
      </w:r>
      <w:r w:rsidRPr="00697230">
        <w:rPr>
          <w:b w:val="0"/>
          <w:bCs w:val="0"/>
          <w:sz w:val="24"/>
          <w:szCs w:val="24"/>
        </w:rPr>
        <w:fldChar w:fldCharType="end"/>
      </w:r>
      <w:bookmarkStart w:id="26" w:name="RANGE!B222"/>
      <w:r w:rsidRPr="00697230">
        <w:rPr>
          <w:b w:val="0"/>
          <w:bCs w:val="0"/>
          <w:sz w:val="24"/>
          <w:szCs w:val="24"/>
        </w:rPr>
        <w:t xml:space="preserve"> Measure Application Type</w:t>
      </w:r>
      <w:bookmarkEnd w:id="21"/>
      <w:bookmarkEnd w:id="26"/>
      <w:r w:rsidRPr="00697230">
        <w:rPr>
          <w:b w:val="0"/>
          <w:bCs w:val="0"/>
          <w:sz w:val="24"/>
          <w:szCs w:val="24"/>
        </w:rPr>
        <w:endnoteReference w:id="1"/>
      </w:r>
      <w:bookmarkEnd w:id="22"/>
      <w:bookmarkEnd w:id="23"/>
      <w:bookmarkEnd w:id="24"/>
      <w:bookmarkEnd w:id="25"/>
    </w:p>
    <w:p w:rsidR="00697230" w:rsidRPr="00697230" w:rsidRDefault="00697230" w:rsidP="00697230">
      <w:pPr>
        <w:keepNext/>
      </w:pPr>
      <w:proofErr w:type="gramStart"/>
      <w:r w:rsidRPr="00697230">
        <w:t>Identifies the measure application type in the Measure Implementation table in DEER2011.</w:t>
      </w:r>
      <w:proofErr w:type="gramEnd"/>
    </w:p>
    <w:tbl>
      <w:tblPr>
        <w:tblW w:w="9090" w:type="dxa"/>
        <w:tblInd w:w="108" w:type="dxa"/>
        <w:tblLook w:val="04A0" w:firstRow="1" w:lastRow="0" w:firstColumn="1" w:lastColumn="0" w:noHBand="0" w:noVBand="1"/>
      </w:tblPr>
      <w:tblGrid>
        <w:gridCol w:w="900"/>
        <w:gridCol w:w="2610"/>
        <w:gridCol w:w="5580"/>
      </w:tblGrid>
      <w:tr w:rsidR="00697230" w:rsidRPr="00746B00" w:rsidTr="006F47AA">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697230" w:rsidRPr="00697230" w:rsidRDefault="00697230" w:rsidP="006F47AA">
            <w:pPr>
              <w:keepNext/>
            </w:pPr>
            <w:r w:rsidRPr="00697230">
              <w:t>Code</w:t>
            </w:r>
          </w:p>
        </w:tc>
        <w:tc>
          <w:tcPr>
            <w:tcW w:w="2610" w:type="dxa"/>
            <w:tcBorders>
              <w:top w:val="single" w:sz="4" w:space="0" w:color="auto"/>
              <w:left w:val="nil"/>
              <w:bottom w:val="single" w:sz="8" w:space="0" w:color="auto"/>
              <w:right w:val="nil"/>
            </w:tcBorders>
            <w:shd w:val="clear" w:color="000000" w:fill="D9D9D9"/>
            <w:noWrap/>
            <w:vAlign w:val="bottom"/>
            <w:hideMark/>
          </w:tcPr>
          <w:p w:rsidR="00697230" w:rsidRPr="00697230" w:rsidRDefault="00697230" w:rsidP="006F47AA">
            <w:pPr>
              <w:keepNext/>
            </w:pPr>
            <w:r w:rsidRPr="00697230">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697230" w:rsidRPr="00697230" w:rsidRDefault="00697230" w:rsidP="006F47AA">
            <w:pPr>
              <w:keepNext/>
            </w:pPr>
            <w:r w:rsidRPr="00697230">
              <w:t>Comment</w:t>
            </w:r>
          </w:p>
        </w:tc>
      </w:tr>
      <w:tr w:rsidR="00697230" w:rsidRPr="00746B00" w:rsidTr="006F47AA">
        <w:trPr>
          <w:trHeight w:val="600"/>
        </w:trPr>
        <w:tc>
          <w:tcPr>
            <w:tcW w:w="900" w:type="dxa"/>
            <w:tcBorders>
              <w:top w:val="nil"/>
              <w:left w:val="single" w:sz="4" w:space="0" w:color="auto"/>
              <w:bottom w:val="nil"/>
              <w:right w:val="nil"/>
            </w:tcBorders>
            <w:shd w:val="clear" w:color="auto" w:fill="auto"/>
            <w:noWrap/>
            <w:vAlign w:val="center"/>
            <w:hideMark/>
          </w:tcPr>
          <w:p w:rsidR="00697230" w:rsidRPr="00384457" w:rsidRDefault="00697230" w:rsidP="006F47AA">
            <w:pPr>
              <w:keepNext/>
              <w:rPr>
                <w:sz w:val="20"/>
                <w:szCs w:val="20"/>
              </w:rPr>
            </w:pPr>
            <w:r w:rsidRPr="00384457">
              <w:rPr>
                <w:sz w:val="20"/>
                <w:szCs w:val="20"/>
              </w:rPr>
              <w:t>ER</w:t>
            </w:r>
          </w:p>
        </w:tc>
        <w:tc>
          <w:tcPr>
            <w:tcW w:w="2610" w:type="dxa"/>
            <w:tcBorders>
              <w:top w:val="nil"/>
              <w:left w:val="nil"/>
              <w:bottom w:val="nil"/>
              <w:right w:val="nil"/>
            </w:tcBorders>
            <w:shd w:val="clear" w:color="auto" w:fill="auto"/>
            <w:noWrap/>
            <w:vAlign w:val="center"/>
            <w:hideMark/>
          </w:tcPr>
          <w:p w:rsidR="00697230" w:rsidRPr="00384457" w:rsidRDefault="00697230" w:rsidP="006F47AA">
            <w:pPr>
              <w:keepNext/>
              <w:rPr>
                <w:sz w:val="20"/>
                <w:szCs w:val="20"/>
              </w:rPr>
            </w:pPr>
            <w:r w:rsidRPr="00384457">
              <w:rPr>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697230" w:rsidRPr="00384457" w:rsidRDefault="00697230" w:rsidP="006F47AA">
            <w:pPr>
              <w:keepNext/>
              <w:rPr>
                <w:sz w:val="20"/>
                <w:szCs w:val="20"/>
              </w:rPr>
            </w:pPr>
            <w:r w:rsidRPr="00384457">
              <w:rPr>
                <w:sz w:val="20"/>
                <w:szCs w:val="20"/>
              </w:rPr>
              <w:t>measure applied while existing equipment still viable, or retrofit of existing equipment</w:t>
            </w:r>
          </w:p>
        </w:tc>
      </w:tr>
      <w:tr w:rsidR="00697230" w:rsidRPr="00746B00" w:rsidTr="006F47AA">
        <w:trPr>
          <w:trHeight w:val="600"/>
        </w:trPr>
        <w:tc>
          <w:tcPr>
            <w:tcW w:w="900" w:type="dxa"/>
            <w:tcBorders>
              <w:top w:val="nil"/>
              <w:left w:val="single" w:sz="4" w:space="0" w:color="auto"/>
              <w:bottom w:val="nil"/>
              <w:right w:val="nil"/>
            </w:tcBorders>
            <w:shd w:val="clear" w:color="auto" w:fill="auto"/>
            <w:noWrap/>
            <w:vAlign w:val="center"/>
            <w:hideMark/>
          </w:tcPr>
          <w:p w:rsidR="00697230" w:rsidRPr="00384457" w:rsidRDefault="00697230" w:rsidP="006F47AA">
            <w:pPr>
              <w:keepNext/>
              <w:rPr>
                <w:sz w:val="20"/>
                <w:szCs w:val="20"/>
              </w:rPr>
            </w:pPr>
            <w:r w:rsidRPr="00384457">
              <w:rPr>
                <w:sz w:val="20"/>
                <w:szCs w:val="20"/>
              </w:rPr>
              <w:t>ROB</w:t>
            </w:r>
          </w:p>
        </w:tc>
        <w:tc>
          <w:tcPr>
            <w:tcW w:w="2610" w:type="dxa"/>
            <w:tcBorders>
              <w:top w:val="nil"/>
              <w:left w:val="nil"/>
              <w:bottom w:val="nil"/>
              <w:right w:val="nil"/>
            </w:tcBorders>
            <w:shd w:val="clear" w:color="auto" w:fill="auto"/>
            <w:noWrap/>
            <w:vAlign w:val="center"/>
            <w:hideMark/>
          </w:tcPr>
          <w:p w:rsidR="00697230" w:rsidRPr="00384457" w:rsidRDefault="00697230" w:rsidP="006F47AA">
            <w:pPr>
              <w:keepNext/>
              <w:rPr>
                <w:sz w:val="20"/>
                <w:szCs w:val="20"/>
              </w:rPr>
            </w:pPr>
            <w:r w:rsidRPr="00384457">
              <w:rPr>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697230" w:rsidRPr="00384457" w:rsidRDefault="00697230" w:rsidP="006F47AA">
            <w:pPr>
              <w:keepNext/>
              <w:rPr>
                <w:sz w:val="20"/>
                <w:szCs w:val="20"/>
              </w:rPr>
            </w:pPr>
            <w:r w:rsidRPr="00384457">
              <w:rPr>
                <w:sz w:val="20"/>
                <w:szCs w:val="20"/>
              </w:rPr>
              <w:t>measure applied when existing equipment fails or maintenance requires replacement</w:t>
            </w:r>
          </w:p>
        </w:tc>
      </w:tr>
      <w:tr w:rsidR="00697230" w:rsidRPr="00746B00" w:rsidTr="006F47AA">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697230" w:rsidRPr="00384457" w:rsidRDefault="00697230" w:rsidP="006F47AA">
            <w:pPr>
              <w:rPr>
                <w:sz w:val="20"/>
                <w:szCs w:val="20"/>
              </w:rPr>
            </w:pPr>
            <w:r w:rsidRPr="00384457">
              <w:rPr>
                <w:sz w:val="20"/>
                <w:szCs w:val="20"/>
              </w:rPr>
              <w:t>NC</w:t>
            </w:r>
          </w:p>
        </w:tc>
        <w:tc>
          <w:tcPr>
            <w:tcW w:w="2610" w:type="dxa"/>
            <w:tcBorders>
              <w:top w:val="nil"/>
              <w:left w:val="nil"/>
              <w:bottom w:val="single" w:sz="4" w:space="0" w:color="auto"/>
              <w:right w:val="nil"/>
            </w:tcBorders>
            <w:shd w:val="clear" w:color="auto" w:fill="auto"/>
            <w:noWrap/>
            <w:vAlign w:val="center"/>
            <w:hideMark/>
          </w:tcPr>
          <w:p w:rsidR="00697230" w:rsidRPr="00384457" w:rsidRDefault="00697230" w:rsidP="006F47AA">
            <w:pPr>
              <w:rPr>
                <w:sz w:val="20"/>
                <w:szCs w:val="20"/>
              </w:rPr>
            </w:pPr>
            <w:r w:rsidRPr="00384457">
              <w:rPr>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697230" w:rsidRPr="00384457" w:rsidRDefault="00697230" w:rsidP="006F47AA">
            <w:pPr>
              <w:rPr>
                <w:sz w:val="20"/>
                <w:szCs w:val="20"/>
              </w:rPr>
            </w:pPr>
            <w:r w:rsidRPr="00384457">
              <w:rPr>
                <w:sz w:val="20"/>
                <w:szCs w:val="20"/>
              </w:rPr>
              <w:t>measure applied during construction design phase as an alternative to a code-compliant standard design</w:t>
            </w:r>
          </w:p>
        </w:tc>
      </w:tr>
    </w:tbl>
    <w:p w:rsidR="004E2334" w:rsidRDefault="004E2334" w:rsidP="00697230"/>
    <w:p w:rsidR="00697230" w:rsidRDefault="00697230" w:rsidP="00697230">
      <w:pPr>
        <w:rPr>
          <w:rFonts w:ascii="Arial" w:hAnsi="Arial" w:cs="Arial"/>
          <w:sz w:val="20"/>
          <w:szCs w:val="20"/>
        </w:rPr>
      </w:pPr>
      <w:r w:rsidRPr="00697230">
        <w:t xml:space="preserve">All the measures within this </w:t>
      </w:r>
      <w:proofErr w:type="spellStart"/>
      <w:r w:rsidRPr="00697230">
        <w:t>workpaper</w:t>
      </w:r>
      <w:proofErr w:type="spellEnd"/>
      <w:r w:rsidRPr="00697230">
        <w:t xml:space="preserve"> are ROB. </w:t>
      </w:r>
      <w:bookmarkStart w:id="27" w:name="_Toc383697806"/>
    </w:p>
    <w:p w:rsidR="00697230" w:rsidRPr="00315278" w:rsidRDefault="00697230" w:rsidP="00697230">
      <w:pPr>
        <w:rPr>
          <w:rFonts w:ascii="Arial" w:hAnsi="Arial" w:cs="Arial"/>
          <w:sz w:val="20"/>
          <w:szCs w:val="20"/>
        </w:rPr>
      </w:pPr>
    </w:p>
    <w:p w:rsidR="00697230" w:rsidRDefault="00697230" w:rsidP="00697230">
      <w:pPr>
        <w:pStyle w:val="Heading2"/>
        <w:spacing w:before="0"/>
      </w:pPr>
      <w:bookmarkStart w:id="28" w:name="_Toc387827818"/>
      <w:bookmarkStart w:id="29" w:name="_Toc436750797"/>
      <w:r w:rsidRPr="00746B00">
        <w:lastRenderedPageBreak/>
        <w:t>1.4 Product Base Case and Measure Case Data</w:t>
      </w:r>
      <w:bookmarkEnd w:id="27"/>
      <w:bookmarkEnd w:id="28"/>
      <w:bookmarkEnd w:id="29"/>
    </w:p>
    <w:p w:rsidR="004E00A8" w:rsidRPr="00C536D9" w:rsidRDefault="004C183A" w:rsidP="004C183A">
      <w:pPr>
        <w:rPr>
          <w:iCs/>
        </w:rPr>
      </w:pPr>
      <w:r>
        <w:rPr>
          <w:iCs/>
        </w:rPr>
        <w:t>The base case is any incandescent hardwired exterior fixture at or above 60W.  The savings calculations for this work paper are based on a 60W CFL exterior fixture.  The measure wattage is mapped to 15W CFL fixtures with a WRR of 3.53 based on the lighting retrofit disposition issued December 14, 2013</w:t>
      </w:r>
      <w:r w:rsidR="009C59BE">
        <w:rPr>
          <w:rStyle w:val="EndnoteReference"/>
          <w:iCs/>
        </w:rPr>
        <w:endnoteReference w:id="2"/>
      </w:r>
      <w:r>
        <w:rPr>
          <w:iCs/>
        </w:rPr>
        <w:t>.</w:t>
      </w:r>
    </w:p>
    <w:p w:rsidR="006F47AA" w:rsidRDefault="006F47AA" w:rsidP="00580F3B">
      <w:pPr>
        <w:pStyle w:val="Heading2"/>
      </w:pPr>
      <w:bookmarkStart w:id="30" w:name="_Toc387827820"/>
      <w:bookmarkStart w:id="31" w:name="_Toc436750798"/>
      <w:r w:rsidRPr="00746B00">
        <w:t>1.4.1 DEER Base Case and Measure Case Information</w:t>
      </w:r>
      <w:bookmarkEnd w:id="30"/>
      <w:bookmarkEnd w:id="31"/>
    </w:p>
    <w:p w:rsidR="006F47AA" w:rsidRDefault="004C183A" w:rsidP="00C536D9">
      <w:pPr>
        <w:rPr>
          <w:iCs/>
        </w:rPr>
      </w:pPr>
      <w:r>
        <w:t>The base case for CFL fixtures is defined by the 2014 DEER wattage reduction ratio for a “Res” building type.  The measure can be found in the READI Tool, v2.3.0.</w:t>
      </w:r>
    </w:p>
    <w:p w:rsidR="006F47AA" w:rsidRDefault="006F47AA" w:rsidP="006F47AA">
      <w:pPr>
        <w:rPr>
          <w:iCs/>
        </w:rPr>
      </w:pPr>
    </w:p>
    <w:p w:rsidR="009E7180" w:rsidRDefault="009E7180" w:rsidP="009E7180">
      <w:r>
        <w:rPr>
          <w:b/>
        </w:rPr>
        <w:t>Hours of Operation</w:t>
      </w:r>
      <w:r>
        <w:t xml:space="preserve">: </w:t>
      </w:r>
    </w:p>
    <w:p w:rsidR="009E7180" w:rsidRDefault="009E7180" w:rsidP="009E7180">
      <w:r>
        <w:t xml:space="preserve">As described in the Lighting Disposition from December 2014, the annual hours of operation for CFLs and CDF depend on the building type and area.  The annual hours of operation and coincident diversity factors are listed in the table below:  </w:t>
      </w:r>
    </w:p>
    <w:p w:rsidR="009E7180" w:rsidRDefault="009E7180" w:rsidP="009E7180"/>
    <w:p w:rsidR="009E7180" w:rsidRDefault="009E7180" w:rsidP="009E7180">
      <w:pPr>
        <w:pStyle w:val="Caption"/>
        <w:jc w:val="center"/>
      </w:pPr>
      <w:bookmarkStart w:id="32" w:name="_Toc436750784"/>
      <w:r>
        <w:t xml:space="preserve">Table </w:t>
      </w:r>
      <w:fldSimple w:instr=" SEQ Table \* ARABIC ">
        <w:r>
          <w:rPr>
            <w:noProof/>
          </w:rPr>
          <w:t>2</w:t>
        </w:r>
      </w:fldSimple>
      <w:r>
        <w:t xml:space="preserve"> Hours of Operation and CDF for CFLs</w:t>
      </w:r>
      <w:bookmarkEnd w:id="32"/>
    </w:p>
    <w:tbl>
      <w:tblPr>
        <w:tblStyle w:val="TableGrid"/>
        <w:tblW w:w="0" w:type="auto"/>
        <w:tblLook w:val="04A0" w:firstRow="1" w:lastRow="0" w:firstColumn="1" w:lastColumn="0" w:noHBand="0" w:noVBand="1"/>
      </w:tblPr>
      <w:tblGrid>
        <w:gridCol w:w="2543"/>
        <w:gridCol w:w="2483"/>
        <w:gridCol w:w="2362"/>
        <w:gridCol w:w="2188"/>
      </w:tblGrid>
      <w:tr w:rsidR="009E7180" w:rsidRPr="00EF0A32" w:rsidTr="00A22604">
        <w:tc>
          <w:tcPr>
            <w:tcW w:w="2543" w:type="dxa"/>
            <w:shd w:val="clear" w:color="auto" w:fill="D9D9D9" w:themeFill="background1" w:themeFillShade="D9"/>
            <w:vAlign w:val="center"/>
          </w:tcPr>
          <w:p w:rsidR="009E7180" w:rsidRPr="00EF0A32" w:rsidRDefault="009E7180" w:rsidP="00A22604">
            <w:pPr>
              <w:jc w:val="center"/>
              <w:rPr>
                <w:b/>
                <w:sz w:val="20"/>
                <w:szCs w:val="20"/>
              </w:rPr>
            </w:pPr>
          </w:p>
        </w:tc>
        <w:tc>
          <w:tcPr>
            <w:tcW w:w="2483" w:type="dxa"/>
            <w:shd w:val="clear" w:color="auto" w:fill="D9D9D9" w:themeFill="background1" w:themeFillShade="D9"/>
            <w:vAlign w:val="center"/>
          </w:tcPr>
          <w:p w:rsidR="009E7180" w:rsidRPr="00EF0A32" w:rsidRDefault="009E7180" w:rsidP="00A22604">
            <w:pPr>
              <w:jc w:val="center"/>
              <w:rPr>
                <w:b/>
                <w:sz w:val="20"/>
                <w:szCs w:val="20"/>
              </w:rPr>
            </w:pPr>
            <w:r w:rsidRPr="00EF0A32">
              <w:rPr>
                <w:b/>
                <w:sz w:val="20"/>
                <w:szCs w:val="20"/>
              </w:rPr>
              <w:t>Hours of Operation [</w:t>
            </w:r>
            <w:proofErr w:type="spellStart"/>
            <w:r w:rsidRPr="00EF0A32">
              <w:rPr>
                <w:b/>
                <w:sz w:val="20"/>
                <w:szCs w:val="20"/>
              </w:rPr>
              <w:t>hr</w:t>
            </w:r>
            <w:proofErr w:type="spellEnd"/>
            <w:r w:rsidRPr="00EF0A32">
              <w:rPr>
                <w:b/>
                <w:sz w:val="20"/>
                <w:szCs w:val="20"/>
              </w:rPr>
              <w:t>/</w:t>
            </w:r>
            <w:proofErr w:type="spellStart"/>
            <w:r w:rsidRPr="00EF0A32">
              <w:rPr>
                <w:b/>
                <w:sz w:val="20"/>
                <w:szCs w:val="20"/>
              </w:rPr>
              <w:t>yr</w:t>
            </w:r>
            <w:proofErr w:type="spellEnd"/>
            <w:r w:rsidRPr="00EF0A32">
              <w:rPr>
                <w:b/>
                <w:sz w:val="20"/>
                <w:szCs w:val="20"/>
              </w:rPr>
              <w:t>]</w:t>
            </w:r>
          </w:p>
        </w:tc>
        <w:tc>
          <w:tcPr>
            <w:tcW w:w="2362" w:type="dxa"/>
            <w:shd w:val="clear" w:color="auto" w:fill="D9D9D9" w:themeFill="background1" w:themeFillShade="D9"/>
            <w:vAlign w:val="center"/>
          </w:tcPr>
          <w:p w:rsidR="009E7180" w:rsidRPr="00EF0A32" w:rsidRDefault="009E7180" w:rsidP="00A22604">
            <w:pPr>
              <w:jc w:val="center"/>
              <w:rPr>
                <w:b/>
                <w:sz w:val="20"/>
                <w:szCs w:val="20"/>
              </w:rPr>
            </w:pPr>
            <w:r w:rsidRPr="00EF0A32">
              <w:rPr>
                <w:b/>
                <w:sz w:val="20"/>
                <w:szCs w:val="20"/>
              </w:rPr>
              <w:t>CDF</w:t>
            </w:r>
          </w:p>
        </w:tc>
        <w:tc>
          <w:tcPr>
            <w:tcW w:w="2188" w:type="dxa"/>
            <w:shd w:val="clear" w:color="auto" w:fill="D9D9D9" w:themeFill="background1" w:themeFillShade="D9"/>
            <w:vAlign w:val="center"/>
          </w:tcPr>
          <w:p w:rsidR="009E7180" w:rsidRPr="00EF0A32" w:rsidRDefault="009E7180" w:rsidP="00A22604">
            <w:pPr>
              <w:jc w:val="center"/>
              <w:rPr>
                <w:b/>
                <w:sz w:val="20"/>
                <w:szCs w:val="20"/>
              </w:rPr>
            </w:pPr>
            <w:r>
              <w:rPr>
                <w:b/>
                <w:sz w:val="20"/>
                <w:szCs w:val="20"/>
              </w:rPr>
              <w:t>Measure Code</w:t>
            </w:r>
          </w:p>
        </w:tc>
      </w:tr>
      <w:tr w:rsidR="009E7180" w:rsidRPr="00EF0A32" w:rsidTr="00A22604">
        <w:tc>
          <w:tcPr>
            <w:tcW w:w="2543" w:type="dxa"/>
            <w:shd w:val="clear" w:color="auto" w:fill="D9D9D9" w:themeFill="background1" w:themeFillShade="D9"/>
            <w:vAlign w:val="center"/>
          </w:tcPr>
          <w:p w:rsidR="009E7180" w:rsidRPr="00EF0A32" w:rsidRDefault="009E7180" w:rsidP="00A22604">
            <w:pPr>
              <w:jc w:val="center"/>
              <w:rPr>
                <w:b/>
                <w:sz w:val="20"/>
                <w:szCs w:val="20"/>
              </w:rPr>
            </w:pPr>
            <w:r w:rsidRPr="00EF0A32">
              <w:rPr>
                <w:b/>
                <w:sz w:val="20"/>
                <w:szCs w:val="20"/>
              </w:rPr>
              <w:t xml:space="preserve">Multifamily - </w:t>
            </w:r>
            <w:r>
              <w:rPr>
                <w:b/>
                <w:sz w:val="20"/>
                <w:szCs w:val="20"/>
              </w:rPr>
              <w:t>Exterior</w:t>
            </w:r>
            <w:r w:rsidRPr="00EF0A32">
              <w:rPr>
                <w:b/>
                <w:sz w:val="20"/>
                <w:szCs w:val="20"/>
              </w:rPr>
              <w:t xml:space="preserve"> </w:t>
            </w:r>
            <w:r>
              <w:rPr>
                <w:b/>
                <w:sz w:val="20"/>
                <w:szCs w:val="20"/>
              </w:rPr>
              <w:t>Attached to Dwelling</w:t>
            </w:r>
          </w:p>
        </w:tc>
        <w:tc>
          <w:tcPr>
            <w:tcW w:w="2483" w:type="dxa"/>
            <w:vAlign w:val="center"/>
          </w:tcPr>
          <w:p w:rsidR="009E7180" w:rsidRPr="00EF0A32" w:rsidRDefault="009E7180" w:rsidP="00A22604">
            <w:pPr>
              <w:jc w:val="center"/>
              <w:rPr>
                <w:sz w:val="20"/>
                <w:szCs w:val="20"/>
              </w:rPr>
            </w:pPr>
            <w:r>
              <w:rPr>
                <w:sz w:val="20"/>
                <w:szCs w:val="20"/>
              </w:rPr>
              <w:t>1249</w:t>
            </w:r>
          </w:p>
        </w:tc>
        <w:tc>
          <w:tcPr>
            <w:tcW w:w="2362" w:type="dxa"/>
            <w:vAlign w:val="center"/>
          </w:tcPr>
          <w:p w:rsidR="009E7180" w:rsidRPr="00EF0A32" w:rsidRDefault="009E7180" w:rsidP="00A22604">
            <w:pPr>
              <w:jc w:val="center"/>
              <w:rPr>
                <w:sz w:val="20"/>
                <w:szCs w:val="20"/>
              </w:rPr>
            </w:pPr>
            <w:r>
              <w:rPr>
                <w:sz w:val="20"/>
                <w:szCs w:val="20"/>
              </w:rPr>
              <w:t>0</w:t>
            </w:r>
          </w:p>
        </w:tc>
        <w:tc>
          <w:tcPr>
            <w:tcW w:w="2188" w:type="dxa"/>
            <w:vAlign w:val="center"/>
          </w:tcPr>
          <w:p w:rsidR="009E7180" w:rsidRPr="00EF0A32" w:rsidRDefault="009E7180" w:rsidP="00A22604">
            <w:pPr>
              <w:jc w:val="center"/>
              <w:rPr>
                <w:sz w:val="20"/>
                <w:szCs w:val="20"/>
              </w:rPr>
            </w:pPr>
            <w:r>
              <w:rPr>
                <w:sz w:val="20"/>
                <w:szCs w:val="20"/>
              </w:rPr>
              <w:t>L811</w:t>
            </w:r>
          </w:p>
        </w:tc>
      </w:tr>
      <w:tr w:rsidR="009E7180" w:rsidRPr="00EF0A32" w:rsidTr="00A22604">
        <w:tc>
          <w:tcPr>
            <w:tcW w:w="2543" w:type="dxa"/>
            <w:shd w:val="clear" w:color="auto" w:fill="D9D9D9" w:themeFill="background1" w:themeFillShade="D9"/>
            <w:vAlign w:val="center"/>
          </w:tcPr>
          <w:p w:rsidR="009E7180" w:rsidRPr="00EF0A32" w:rsidRDefault="009E7180" w:rsidP="00A22604">
            <w:pPr>
              <w:jc w:val="center"/>
              <w:rPr>
                <w:b/>
                <w:sz w:val="20"/>
                <w:szCs w:val="20"/>
              </w:rPr>
            </w:pPr>
            <w:r w:rsidRPr="00EF0A32">
              <w:rPr>
                <w:b/>
                <w:sz w:val="20"/>
                <w:szCs w:val="20"/>
              </w:rPr>
              <w:t>Multifamily - Exterior Common Areas</w:t>
            </w:r>
          </w:p>
        </w:tc>
        <w:tc>
          <w:tcPr>
            <w:tcW w:w="2483" w:type="dxa"/>
            <w:vAlign w:val="center"/>
          </w:tcPr>
          <w:p w:rsidR="009E7180" w:rsidRPr="00EF0A32" w:rsidRDefault="009E7180" w:rsidP="00A22604">
            <w:pPr>
              <w:jc w:val="center"/>
              <w:rPr>
                <w:sz w:val="20"/>
                <w:szCs w:val="20"/>
              </w:rPr>
            </w:pPr>
            <w:r w:rsidRPr="00EF0A32">
              <w:rPr>
                <w:sz w:val="20"/>
                <w:szCs w:val="20"/>
              </w:rPr>
              <w:t>3390</w:t>
            </w:r>
          </w:p>
        </w:tc>
        <w:tc>
          <w:tcPr>
            <w:tcW w:w="2362" w:type="dxa"/>
            <w:vAlign w:val="center"/>
          </w:tcPr>
          <w:p w:rsidR="009E7180" w:rsidRPr="00EF0A32" w:rsidRDefault="009E7180" w:rsidP="00A22604">
            <w:pPr>
              <w:jc w:val="center"/>
              <w:rPr>
                <w:sz w:val="20"/>
                <w:szCs w:val="20"/>
              </w:rPr>
            </w:pPr>
            <w:r w:rsidRPr="00EF0A32">
              <w:rPr>
                <w:sz w:val="20"/>
                <w:szCs w:val="20"/>
              </w:rPr>
              <w:t>0.09</w:t>
            </w:r>
          </w:p>
        </w:tc>
        <w:tc>
          <w:tcPr>
            <w:tcW w:w="2188" w:type="dxa"/>
            <w:vAlign w:val="center"/>
          </w:tcPr>
          <w:p w:rsidR="009E7180" w:rsidRPr="00EF0A32" w:rsidRDefault="009E7180" w:rsidP="00A22604">
            <w:pPr>
              <w:jc w:val="center"/>
              <w:rPr>
                <w:sz w:val="20"/>
                <w:szCs w:val="20"/>
              </w:rPr>
            </w:pPr>
            <w:r>
              <w:rPr>
                <w:sz w:val="20"/>
                <w:szCs w:val="20"/>
              </w:rPr>
              <w:t>L855</w:t>
            </w:r>
          </w:p>
        </w:tc>
      </w:tr>
    </w:tbl>
    <w:p w:rsidR="009E7180" w:rsidRDefault="009E7180" w:rsidP="009E7180"/>
    <w:p w:rsidR="006F47AA" w:rsidRDefault="006F47AA" w:rsidP="006F47AA">
      <w:pPr>
        <w:rPr>
          <w:b/>
        </w:rPr>
      </w:pPr>
      <w:r w:rsidRPr="00E720AF">
        <w:rPr>
          <w:b/>
        </w:rPr>
        <w:t>Net-to-Gross Assumption:</w:t>
      </w:r>
    </w:p>
    <w:p w:rsidR="006F47AA" w:rsidRPr="00EF1EDC" w:rsidRDefault="00C536D9" w:rsidP="006F47AA">
      <w:pPr>
        <w:rPr>
          <w:i/>
        </w:rPr>
      </w:pPr>
      <w:r w:rsidRPr="00C536D9">
        <w:t>The NTG values were obtained using the DEER READI tool. The relevant NTG values for the measures in this work paper are in the table below.</w:t>
      </w:r>
    </w:p>
    <w:p w:rsidR="006F47AA" w:rsidRPr="00C536D9" w:rsidRDefault="006F47AA" w:rsidP="006F47AA">
      <w:pPr>
        <w:rPr>
          <w:b/>
        </w:rPr>
      </w:pPr>
    </w:p>
    <w:p w:rsidR="006F47AA" w:rsidRPr="00C536D9" w:rsidRDefault="00C536D9" w:rsidP="00C536D9">
      <w:pPr>
        <w:pStyle w:val="Caption"/>
        <w:jc w:val="center"/>
        <w:rPr>
          <w:b w:val="0"/>
        </w:rPr>
      </w:pPr>
      <w:bookmarkStart w:id="33" w:name="_Toc436750785"/>
      <w:r>
        <w:t xml:space="preserve">Table </w:t>
      </w:r>
      <w:fldSimple w:instr=" SEQ Table \* ARABIC ">
        <w:r w:rsidR="009E7180">
          <w:rPr>
            <w:noProof/>
          </w:rPr>
          <w:t>3</w:t>
        </w:r>
      </w:fldSimple>
      <w:r>
        <w:t xml:space="preserve"> Net-to-Gross</w:t>
      </w:r>
      <w:bookmarkEnd w:id="33"/>
    </w:p>
    <w:tbl>
      <w:tblPr>
        <w:tblStyle w:val="TableGrid1"/>
        <w:tblW w:w="5000" w:type="pct"/>
        <w:tblLook w:val="01E0" w:firstRow="1" w:lastRow="1" w:firstColumn="1" w:lastColumn="1" w:noHBand="0" w:noVBand="0"/>
      </w:tblPr>
      <w:tblGrid>
        <w:gridCol w:w="1289"/>
        <w:gridCol w:w="3867"/>
        <w:gridCol w:w="831"/>
        <w:gridCol w:w="1141"/>
        <w:gridCol w:w="1624"/>
        <w:gridCol w:w="824"/>
      </w:tblGrid>
      <w:tr w:rsidR="00C536D9" w:rsidRPr="00C536D9" w:rsidTr="00C536D9">
        <w:tc>
          <w:tcPr>
            <w:tcW w:w="673"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NTGR ID</w:t>
            </w:r>
          </w:p>
        </w:tc>
        <w:tc>
          <w:tcPr>
            <w:tcW w:w="2019"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Description</w:t>
            </w:r>
          </w:p>
        </w:tc>
        <w:tc>
          <w:tcPr>
            <w:tcW w:w="434"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Sector</w:t>
            </w:r>
          </w:p>
        </w:tc>
        <w:tc>
          <w:tcPr>
            <w:tcW w:w="596"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proofErr w:type="spellStart"/>
            <w:r w:rsidRPr="00C536D9">
              <w:rPr>
                <w:rFonts w:ascii="Times New Roman" w:hAnsi="Times New Roman"/>
                <w:b/>
                <w:sz w:val="20"/>
                <w:szCs w:val="20"/>
              </w:rPr>
              <w:t>BldgType</w:t>
            </w:r>
            <w:proofErr w:type="spellEnd"/>
          </w:p>
        </w:tc>
        <w:tc>
          <w:tcPr>
            <w:tcW w:w="848"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Measure Delivery</w:t>
            </w:r>
          </w:p>
        </w:tc>
        <w:tc>
          <w:tcPr>
            <w:tcW w:w="430"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NTGR</w:t>
            </w:r>
          </w:p>
        </w:tc>
      </w:tr>
      <w:tr w:rsidR="00C536D9" w:rsidRPr="00C536D9" w:rsidTr="00C536D9">
        <w:tc>
          <w:tcPr>
            <w:tcW w:w="673"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Res-Default&gt;2</w:t>
            </w:r>
          </w:p>
        </w:tc>
        <w:tc>
          <w:tcPr>
            <w:tcW w:w="2019"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All other EEM with no evaluated NTGR; existing EEM with same delivery mechanism for more than 2 years</w:t>
            </w:r>
          </w:p>
        </w:tc>
        <w:tc>
          <w:tcPr>
            <w:tcW w:w="434"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Res</w:t>
            </w:r>
          </w:p>
        </w:tc>
        <w:tc>
          <w:tcPr>
            <w:tcW w:w="596"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Any</w:t>
            </w:r>
          </w:p>
        </w:tc>
        <w:tc>
          <w:tcPr>
            <w:tcW w:w="848"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Any</w:t>
            </w:r>
          </w:p>
        </w:tc>
        <w:tc>
          <w:tcPr>
            <w:tcW w:w="430" w:type="pct"/>
            <w:vAlign w:val="center"/>
          </w:tcPr>
          <w:p w:rsidR="00C536D9" w:rsidRPr="00C536D9" w:rsidRDefault="00C536D9" w:rsidP="00C536D9">
            <w:pPr>
              <w:jc w:val="center"/>
              <w:rPr>
                <w:rFonts w:ascii="Times New Roman" w:hAnsi="Times New Roman"/>
                <w:sz w:val="20"/>
                <w:szCs w:val="20"/>
              </w:rPr>
            </w:pPr>
            <w:r w:rsidRPr="00C536D9">
              <w:rPr>
                <w:rFonts w:ascii="Times New Roman" w:hAnsi="Times New Roman"/>
                <w:sz w:val="20"/>
                <w:szCs w:val="20"/>
              </w:rPr>
              <w:t>0.55</w:t>
            </w:r>
          </w:p>
        </w:tc>
      </w:tr>
    </w:tbl>
    <w:p w:rsidR="006F47AA" w:rsidRDefault="006F47AA" w:rsidP="006F47AA"/>
    <w:p w:rsidR="00C536D9" w:rsidRPr="00C536D9" w:rsidRDefault="00C536D9" w:rsidP="00C536D9">
      <w:pPr>
        <w:pStyle w:val="Reminders"/>
        <w:rPr>
          <w:rFonts w:ascii="Times New Roman" w:hAnsi="Times New Roman"/>
          <w:i w:val="0"/>
          <w:color w:val="auto"/>
          <w:sz w:val="24"/>
        </w:rPr>
      </w:pPr>
      <w:r w:rsidRPr="00C536D9">
        <w:rPr>
          <w:rFonts w:ascii="Times New Roman" w:hAnsi="Times New Roman"/>
          <w:b/>
          <w:i w:val="0"/>
          <w:color w:val="auto"/>
          <w:sz w:val="24"/>
        </w:rPr>
        <w:t>Spillage Rate</w:t>
      </w:r>
      <w:r>
        <w:rPr>
          <w:rFonts w:ascii="Times New Roman" w:hAnsi="Times New Roman"/>
          <w:b/>
          <w:i w:val="0"/>
          <w:color w:val="auto"/>
          <w:sz w:val="24"/>
        </w:rPr>
        <w:t>:</w:t>
      </w:r>
    </w:p>
    <w:p w:rsidR="00C536D9" w:rsidRPr="00C536D9" w:rsidRDefault="00C536D9" w:rsidP="00C536D9">
      <w:pPr>
        <w:pStyle w:val="Reminders"/>
        <w:rPr>
          <w:rFonts w:ascii="Times New Roman" w:hAnsi="Times New Roman"/>
          <w:i w:val="0"/>
          <w:color w:val="auto"/>
          <w:sz w:val="24"/>
        </w:rPr>
      </w:pPr>
      <w:r w:rsidRPr="00C536D9">
        <w:rPr>
          <w:rFonts w:ascii="Times New Roman" w:hAnsi="Times New Roman"/>
          <w:i w:val="0"/>
          <w:color w:val="auto"/>
          <w:sz w:val="24"/>
        </w:rPr>
        <w:t>Spillage rates are not tracked in work papers; they are tracked in an external document which will be supplied to the Commission Staff.</w:t>
      </w:r>
    </w:p>
    <w:p w:rsidR="00C536D9" w:rsidRPr="00C536D9" w:rsidRDefault="00C536D9" w:rsidP="006F47AA">
      <w:pPr>
        <w:rPr>
          <w:b/>
        </w:rPr>
      </w:pPr>
    </w:p>
    <w:p w:rsidR="00C536D9" w:rsidRPr="00C536D9" w:rsidRDefault="00C536D9" w:rsidP="00C536D9">
      <w:pPr>
        <w:pStyle w:val="Reminders"/>
        <w:rPr>
          <w:rFonts w:ascii="Times New Roman" w:hAnsi="Times New Roman"/>
          <w:b/>
          <w:i w:val="0"/>
          <w:color w:val="auto"/>
          <w:sz w:val="24"/>
        </w:rPr>
      </w:pPr>
      <w:r w:rsidRPr="00C536D9">
        <w:rPr>
          <w:rFonts w:ascii="Times New Roman" w:hAnsi="Times New Roman"/>
          <w:b/>
          <w:i w:val="0"/>
          <w:color w:val="auto"/>
          <w:sz w:val="24"/>
        </w:rPr>
        <w:t>Installation Rate</w:t>
      </w:r>
      <w:r>
        <w:rPr>
          <w:rFonts w:ascii="Times New Roman" w:hAnsi="Times New Roman"/>
          <w:b/>
          <w:i w:val="0"/>
          <w:color w:val="auto"/>
          <w:sz w:val="24"/>
        </w:rPr>
        <w:t>:</w:t>
      </w:r>
    </w:p>
    <w:p w:rsidR="00C536D9" w:rsidRDefault="00C536D9" w:rsidP="00C536D9">
      <w:pPr>
        <w:pStyle w:val="NoSpacing"/>
        <w:rPr>
          <w:rFonts w:ascii="Times New Roman" w:hAnsi="Times New Roman" w:cs="Times New Roman"/>
          <w:sz w:val="24"/>
          <w:szCs w:val="24"/>
        </w:rPr>
      </w:pPr>
      <w:r w:rsidRPr="00C536D9">
        <w:rPr>
          <w:rFonts w:ascii="Times New Roman" w:hAnsi="Times New Roman" w:cs="Times New Roman"/>
          <w:sz w:val="24"/>
          <w:szCs w:val="24"/>
        </w:rPr>
        <w:t xml:space="preserve">The IR value </w:t>
      </w:r>
      <w:r w:rsidR="009E7180">
        <w:rPr>
          <w:rFonts w:ascii="Times New Roman" w:hAnsi="Times New Roman" w:cs="Times New Roman"/>
          <w:sz w:val="24"/>
          <w:szCs w:val="24"/>
        </w:rPr>
        <w:t>was</w:t>
      </w:r>
      <w:r w:rsidRPr="00C536D9">
        <w:rPr>
          <w:rFonts w:ascii="Times New Roman" w:hAnsi="Times New Roman" w:cs="Times New Roman"/>
          <w:sz w:val="24"/>
          <w:szCs w:val="24"/>
        </w:rPr>
        <w:t xml:space="preserve"> obtained using the DEER READI tool. The relevant IR value for the measures in this work paper </w:t>
      </w:r>
      <w:r w:rsidR="009E7180">
        <w:rPr>
          <w:rFonts w:ascii="Times New Roman" w:hAnsi="Times New Roman" w:cs="Times New Roman"/>
          <w:sz w:val="24"/>
          <w:szCs w:val="24"/>
        </w:rPr>
        <w:t>is</w:t>
      </w:r>
      <w:r w:rsidRPr="00C536D9">
        <w:rPr>
          <w:rFonts w:ascii="Times New Roman" w:hAnsi="Times New Roman" w:cs="Times New Roman"/>
          <w:sz w:val="24"/>
          <w:szCs w:val="24"/>
        </w:rPr>
        <w:t xml:space="preserve"> in the table below.</w:t>
      </w:r>
    </w:p>
    <w:p w:rsidR="00C536D9" w:rsidRDefault="00C536D9" w:rsidP="00C536D9">
      <w:pPr>
        <w:pStyle w:val="NoSpacing"/>
        <w:rPr>
          <w:rFonts w:ascii="Times New Roman" w:hAnsi="Times New Roman" w:cs="Times New Roman"/>
          <w:sz w:val="24"/>
          <w:szCs w:val="24"/>
        </w:rPr>
      </w:pPr>
    </w:p>
    <w:p w:rsidR="00C536D9" w:rsidRPr="00C536D9" w:rsidRDefault="00C536D9" w:rsidP="00C536D9">
      <w:pPr>
        <w:pStyle w:val="Caption"/>
        <w:jc w:val="center"/>
        <w:rPr>
          <w:sz w:val="24"/>
          <w:szCs w:val="24"/>
        </w:rPr>
      </w:pPr>
      <w:bookmarkStart w:id="34" w:name="_Toc436750786"/>
      <w:r>
        <w:t xml:space="preserve">Table </w:t>
      </w:r>
      <w:fldSimple w:instr=" SEQ Table \* ARABIC ">
        <w:r w:rsidR="009C59BE">
          <w:rPr>
            <w:noProof/>
          </w:rPr>
          <w:t>4</w:t>
        </w:r>
      </w:fldSimple>
      <w:r>
        <w:t xml:space="preserve"> Installation Rate</w:t>
      </w:r>
      <w:bookmarkEnd w:id="34"/>
    </w:p>
    <w:tbl>
      <w:tblPr>
        <w:tblStyle w:val="TableGrid1"/>
        <w:tblW w:w="5000" w:type="pct"/>
        <w:tblLook w:val="01E0" w:firstRow="1" w:lastRow="1" w:firstColumn="1" w:lastColumn="1" w:noHBand="0" w:noVBand="0"/>
      </w:tblPr>
      <w:tblGrid>
        <w:gridCol w:w="1385"/>
        <w:gridCol w:w="2691"/>
        <w:gridCol w:w="1318"/>
        <w:gridCol w:w="1643"/>
        <w:gridCol w:w="1327"/>
        <w:gridCol w:w="1212"/>
      </w:tblGrid>
      <w:tr w:rsidR="00C536D9" w:rsidRPr="00C536D9" w:rsidTr="00C536D9">
        <w:tc>
          <w:tcPr>
            <w:tcW w:w="723"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GSIA ID</w:t>
            </w:r>
          </w:p>
        </w:tc>
        <w:tc>
          <w:tcPr>
            <w:tcW w:w="1405"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Description</w:t>
            </w:r>
          </w:p>
        </w:tc>
        <w:tc>
          <w:tcPr>
            <w:tcW w:w="688"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r w:rsidRPr="00C536D9">
              <w:rPr>
                <w:rFonts w:ascii="Times New Roman" w:hAnsi="Times New Roman"/>
                <w:b/>
                <w:sz w:val="20"/>
                <w:szCs w:val="20"/>
              </w:rPr>
              <w:t>Sector</w:t>
            </w:r>
          </w:p>
        </w:tc>
        <w:tc>
          <w:tcPr>
            <w:tcW w:w="858"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proofErr w:type="spellStart"/>
            <w:r w:rsidRPr="00C536D9">
              <w:rPr>
                <w:rFonts w:ascii="Times New Roman" w:hAnsi="Times New Roman"/>
                <w:b/>
                <w:sz w:val="20"/>
                <w:szCs w:val="20"/>
              </w:rPr>
              <w:t>BldgType</w:t>
            </w:r>
            <w:proofErr w:type="spellEnd"/>
          </w:p>
        </w:tc>
        <w:tc>
          <w:tcPr>
            <w:tcW w:w="693"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proofErr w:type="spellStart"/>
            <w:r w:rsidRPr="00C536D9">
              <w:rPr>
                <w:rFonts w:ascii="Times New Roman" w:hAnsi="Times New Roman"/>
                <w:b/>
                <w:sz w:val="20"/>
                <w:szCs w:val="20"/>
              </w:rPr>
              <w:t>ProgDelivID</w:t>
            </w:r>
            <w:proofErr w:type="spellEnd"/>
          </w:p>
        </w:tc>
        <w:tc>
          <w:tcPr>
            <w:tcW w:w="634" w:type="pct"/>
            <w:shd w:val="clear" w:color="auto" w:fill="D9D9D9" w:themeFill="background1" w:themeFillShade="D9"/>
            <w:vAlign w:val="center"/>
          </w:tcPr>
          <w:p w:rsidR="00C536D9" w:rsidRPr="00C536D9" w:rsidRDefault="00C536D9" w:rsidP="00C536D9">
            <w:pPr>
              <w:jc w:val="center"/>
              <w:rPr>
                <w:rFonts w:ascii="Times New Roman" w:hAnsi="Times New Roman"/>
                <w:b/>
                <w:sz w:val="20"/>
                <w:szCs w:val="20"/>
              </w:rPr>
            </w:pPr>
            <w:proofErr w:type="spellStart"/>
            <w:r w:rsidRPr="00C536D9">
              <w:rPr>
                <w:rFonts w:ascii="Times New Roman" w:hAnsi="Times New Roman"/>
                <w:b/>
                <w:sz w:val="20"/>
                <w:szCs w:val="20"/>
              </w:rPr>
              <w:t>GSIAValue</w:t>
            </w:r>
            <w:proofErr w:type="spellEnd"/>
          </w:p>
        </w:tc>
      </w:tr>
      <w:tr w:rsidR="00C536D9" w:rsidRPr="00C536D9" w:rsidTr="00C536D9">
        <w:tc>
          <w:tcPr>
            <w:tcW w:w="723" w:type="pct"/>
            <w:vAlign w:val="center"/>
          </w:tcPr>
          <w:p w:rsidR="00C536D9" w:rsidRPr="00C536D9" w:rsidRDefault="00C536D9" w:rsidP="00C536D9">
            <w:pPr>
              <w:jc w:val="center"/>
              <w:rPr>
                <w:rFonts w:ascii="Times New Roman" w:hAnsi="Times New Roman"/>
                <w:sz w:val="20"/>
                <w:szCs w:val="20"/>
              </w:rPr>
            </w:pPr>
            <w:proofErr w:type="spellStart"/>
            <w:r>
              <w:rPr>
                <w:rFonts w:ascii="Times New Roman" w:hAnsi="Times New Roman"/>
                <w:sz w:val="20"/>
                <w:szCs w:val="20"/>
              </w:rPr>
              <w:t>MFm</w:t>
            </w:r>
            <w:proofErr w:type="spellEnd"/>
            <w:r>
              <w:rPr>
                <w:rFonts w:ascii="Times New Roman" w:hAnsi="Times New Roman"/>
                <w:sz w:val="20"/>
                <w:szCs w:val="20"/>
              </w:rPr>
              <w:t>-</w:t>
            </w:r>
            <w:proofErr w:type="spellStart"/>
            <w:r>
              <w:rPr>
                <w:rFonts w:ascii="Times New Roman" w:hAnsi="Times New Roman"/>
                <w:sz w:val="20"/>
                <w:szCs w:val="20"/>
              </w:rPr>
              <w:t>ExtCF</w:t>
            </w:r>
            <w:proofErr w:type="spellEnd"/>
            <w:r>
              <w:rPr>
                <w:rFonts w:ascii="Times New Roman" w:hAnsi="Times New Roman"/>
                <w:sz w:val="20"/>
                <w:szCs w:val="20"/>
              </w:rPr>
              <w:t>-PGE</w:t>
            </w:r>
          </w:p>
        </w:tc>
        <w:tc>
          <w:tcPr>
            <w:tcW w:w="1405" w:type="pct"/>
            <w:vAlign w:val="center"/>
          </w:tcPr>
          <w:p w:rsidR="00C536D9" w:rsidRPr="00C536D9" w:rsidRDefault="00C536D9" w:rsidP="00C536D9">
            <w:pPr>
              <w:jc w:val="center"/>
              <w:rPr>
                <w:rFonts w:ascii="Times New Roman" w:hAnsi="Times New Roman"/>
                <w:sz w:val="20"/>
                <w:szCs w:val="20"/>
              </w:rPr>
            </w:pPr>
            <w:r>
              <w:rPr>
                <w:rFonts w:ascii="Times New Roman" w:hAnsi="Times New Roman"/>
                <w:sz w:val="20"/>
                <w:szCs w:val="20"/>
              </w:rPr>
              <w:t>Exterior Compact Fluorescent Fixture; Annual Installation Rate; Multi-family</w:t>
            </w:r>
          </w:p>
        </w:tc>
        <w:tc>
          <w:tcPr>
            <w:tcW w:w="688" w:type="pct"/>
            <w:vAlign w:val="center"/>
          </w:tcPr>
          <w:p w:rsidR="00C536D9" w:rsidRPr="00C536D9" w:rsidRDefault="00C536D9" w:rsidP="00C536D9">
            <w:pPr>
              <w:jc w:val="center"/>
              <w:rPr>
                <w:rFonts w:ascii="Times New Roman" w:hAnsi="Times New Roman"/>
                <w:sz w:val="20"/>
                <w:szCs w:val="20"/>
              </w:rPr>
            </w:pPr>
            <w:r>
              <w:rPr>
                <w:rFonts w:ascii="Times New Roman" w:hAnsi="Times New Roman"/>
                <w:sz w:val="20"/>
                <w:szCs w:val="20"/>
              </w:rPr>
              <w:t>Res</w:t>
            </w:r>
          </w:p>
        </w:tc>
        <w:tc>
          <w:tcPr>
            <w:tcW w:w="858" w:type="pct"/>
            <w:vAlign w:val="center"/>
          </w:tcPr>
          <w:p w:rsidR="00C536D9" w:rsidRPr="00C536D9" w:rsidRDefault="00C536D9" w:rsidP="00C536D9">
            <w:pPr>
              <w:jc w:val="center"/>
              <w:rPr>
                <w:rFonts w:ascii="Times New Roman" w:hAnsi="Times New Roman"/>
                <w:sz w:val="20"/>
                <w:szCs w:val="20"/>
              </w:rPr>
            </w:pPr>
            <w:proofErr w:type="spellStart"/>
            <w:r>
              <w:rPr>
                <w:rFonts w:ascii="Times New Roman" w:hAnsi="Times New Roman"/>
                <w:sz w:val="20"/>
                <w:szCs w:val="20"/>
              </w:rPr>
              <w:t>MFm</w:t>
            </w:r>
            <w:proofErr w:type="spellEnd"/>
          </w:p>
        </w:tc>
        <w:tc>
          <w:tcPr>
            <w:tcW w:w="693" w:type="pct"/>
            <w:vAlign w:val="center"/>
          </w:tcPr>
          <w:p w:rsidR="00C536D9" w:rsidRPr="00C536D9" w:rsidRDefault="00C536D9" w:rsidP="00C536D9">
            <w:pPr>
              <w:jc w:val="center"/>
              <w:rPr>
                <w:rFonts w:ascii="Times New Roman" w:hAnsi="Times New Roman"/>
                <w:sz w:val="20"/>
                <w:szCs w:val="20"/>
              </w:rPr>
            </w:pPr>
            <w:proofErr w:type="spellStart"/>
            <w:r>
              <w:rPr>
                <w:rFonts w:ascii="Times New Roman" w:hAnsi="Times New Roman"/>
                <w:sz w:val="20"/>
                <w:szCs w:val="20"/>
              </w:rPr>
              <w:t>NonUpStrm</w:t>
            </w:r>
            <w:proofErr w:type="spellEnd"/>
          </w:p>
        </w:tc>
        <w:tc>
          <w:tcPr>
            <w:tcW w:w="634" w:type="pct"/>
            <w:vAlign w:val="center"/>
          </w:tcPr>
          <w:p w:rsidR="00C536D9" w:rsidRPr="00C536D9" w:rsidRDefault="00C536D9" w:rsidP="00C536D9">
            <w:pPr>
              <w:jc w:val="center"/>
              <w:rPr>
                <w:rFonts w:ascii="Times New Roman" w:hAnsi="Times New Roman"/>
                <w:sz w:val="20"/>
                <w:szCs w:val="20"/>
              </w:rPr>
            </w:pPr>
            <w:r>
              <w:rPr>
                <w:rFonts w:ascii="Times New Roman" w:hAnsi="Times New Roman"/>
                <w:sz w:val="20"/>
                <w:szCs w:val="20"/>
              </w:rPr>
              <w:t>0.89</w:t>
            </w:r>
          </w:p>
        </w:tc>
      </w:tr>
    </w:tbl>
    <w:p w:rsidR="00C536D9" w:rsidRDefault="00C536D9" w:rsidP="006F47AA">
      <w:pPr>
        <w:rPr>
          <w:b/>
        </w:rPr>
      </w:pPr>
    </w:p>
    <w:p w:rsidR="006F47AA" w:rsidRDefault="00C937B3" w:rsidP="006F47AA">
      <w:pPr>
        <w:rPr>
          <w:b/>
        </w:rPr>
      </w:pPr>
      <w:r w:rsidRPr="00A80156">
        <w:rPr>
          <w:b/>
        </w:rPr>
        <w:lastRenderedPageBreak/>
        <w:t>Effective Useful Life:</w:t>
      </w:r>
    </w:p>
    <w:p w:rsidR="00C937B3" w:rsidRDefault="00C536D9" w:rsidP="006F47AA">
      <w:r w:rsidRPr="0087393E">
        <w:t xml:space="preserve">The EUL values were obtained using the DEER READI tool. </w:t>
      </w:r>
      <w:r>
        <w:t xml:space="preserve"> The relevant EUL</w:t>
      </w:r>
      <w:r w:rsidRPr="0087393E">
        <w:t xml:space="preserve"> values for the measures in this wo</w:t>
      </w:r>
      <w:r>
        <w:t>rk paper are in the table below:</w:t>
      </w:r>
    </w:p>
    <w:p w:rsidR="00C536D9" w:rsidRDefault="00C536D9" w:rsidP="006F47AA"/>
    <w:p w:rsidR="00C536D9" w:rsidRDefault="00C536D9" w:rsidP="00C536D9">
      <w:pPr>
        <w:pStyle w:val="Caption"/>
        <w:jc w:val="center"/>
      </w:pPr>
      <w:bookmarkStart w:id="35" w:name="_Toc436750787"/>
      <w:r>
        <w:t xml:space="preserve">Table </w:t>
      </w:r>
      <w:fldSimple w:instr=" SEQ Table \* ARABIC ">
        <w:r w:rsidR="009C59BE">
          <w:rPr>
            <w:noProof/>
          </w:rPr>
          <w:t>5</w:t>
        </w:r>
      </w:fldSimple>
      <w:r>
        <w:t xml:space="preserve"> Effective Useful Life</w:t>
      </w:r>
      <w:bookmarkEnd w:id="35"/>
    </w:p>
    <w:tbl>
      <w:tblPr>
        <w:tblStyle w:val="TableGrid1"/>
        <w:tblW w:w="5000" w:type="pct"/>
        <w:tblLook w:val="04A0" w:firstRow="1" w:lastRow="0" w:firstColumn="1" w:lastColumn="0" w:noHBand="0" w:noVBand="1"/>
      </w:tblPr>
      <w:tblGrid>
        <w:gridCol w:w="1861"/>
        <w:gridCol w:w="3250"/>
        <w:gridCol w:w="1071"/>
        <w:gridCol w:w="1557"/>
        <w:gridCol w:w="1837"/>
      </w:tblGrid>
      <w:tr w:rsidR="00C106CC" w:rsidRPr="00C536D9" w:rsidTr="00C106CC">
        <w:tc>
          <w:tcPr>
            <w:tcW w:w="972" w:type="pct"/>
            <w:shd w:val="clear" w:color="auto" w:fill="D9D9D9" w:themeFill="background1" w:themeFillShade="D9"/>
          </w:tcPr>
          <w:p w:rsidR="00C106CC" w:rsidRPr="00C536D9" w:rsidRDefault="00C106CC" w:rsidP="00C536D9">
            <w:pPr>
              <w:rPr>
                <w:rFonts w:ascii="Times New Roman" w:hAnsi="Times New Roman"/>
                <w:b/>
                <w:sz w:val="20"/>
                <w:szCs w:val="20"/>
              </w:rPr>
            </w:pPr>
            <w:r w:rsidRPr="00C536D9">
              <w:rPr>
                <w:rFonts w:ascii="Times New Roman" w:hAnsi="Times New Roman"/>
                <w:b/>
                <w:sz w:val="20"/>
                <w:szCs w:val="20"/>
              </w:rPr>
              <w:t>EUL ID</w:t>
            </w:r>
          </w:p>
        </w:tc>
        <w:tc>
          <w:tcPr>
            <w:tcW w:w="1697" w:type="pct"/>
            <w:shd w:val="clear" w:color="auto" w:fill="D9D9D9" w:themeFill="background1" w:themeFillShade="D9"/>
          </w:tcPr>
          <w:p w:rsidR="00C106CC" w:rsidRPr="00C536D9" w:rsidRDefault="00C106CC" w:rsidP="00C536D9">
            <w:pPr>
              <w:rPr>
                <w:rFonts w:ascii="Times New Roman" w:hAnsi="Times New Roman"/>
                <w:b/>
                <w:sz w:val="20"/>
                <w:szCs w:val="20"/>
              </w:rPr>
            </w:pPr>
            <w:r w:rsidRPr="00C536D9">
              <w:rPr>
                <w:rFonts w:ascii="Times New Roman" w:hAnsi="Times New Roman"/>
                <w:b/>
                <w:sz w:val="20"/>
                <w:szCs w:val="20"/>
              </w:rPr>
              <w:t>Description</w:t>
            </w:r>
          </w:p>
        </w:tc>
        <w:tc>
          <w:tcPr>
            <w:tcW w:w="559" w:type="pct"/>
            <w:shd w:val="clear" w:color="auto" w:fill="D9D9D9" w:themeFill="background1" w:themeFillShade="D9"/>
          </w:tcPr>
          <w:p w:rsidR="00C106CC" w:rsidRPr="00C536D9" w:rsidRDefault="00C106CC" w:rsidP="00C536D9">
            <w:pPr>
              <w:rPr>
                <w:rFonts w:ascii="Times New Roman" w:hAnsi="Times New Roman"/>
                <w:b/>
                <w:sz w:val="20"/>
                <w:szCs w:val="20"/>
              </w:rPr>
            </w:pPr>
            <w:r w:rsidRPr="00C536D9">
              <w:rPr>
                <w:rFonts w:ascii="Times New Roman" w:hAnsi="Times New Roman"/>
                <w:b/>
                <w:sz w:val="20"/>
                <w:szCs w:val="20"/>
              </w:rPr>
              <w:t>Sector</w:t>
            </w:r>
          </w:p>
        </w:tc>
        <w:tc>
          <w:tcPr>
            <w:tcW w:w="813" w:type="pct"/>
            <w:shd w:val="clear" w:color="auto" w:fill="D9D9D9" w:themeFill="background1" w:themeFillShade="D9"/>
          </w:tcPr>
          <w:p w:rsidR="00C106CC" w:rsidRPr="00C536D9" w:rsidRDefault="00C106CC" w:rsidP="00C536D9">
            <w:pPr>
              <w:rPr>
                <w:rFonts w:ascii="Times New Roman" w:hAnsi="Times New Roman"/>
                <w:b/>
                <w:sz w:val="20"/>
                <w:szCs w:val="20"/>
              </w:rPr>
            </w:pPr>
            <w:proofErr w:type="spellStart"/>
            <w:r w:rsidRPr="00C536D9">
              <w:rPr>
                <w:rFonts w:ascii="Times New Roman" w:hAnsi="Times New Roman"/>
                <w:b/>
                <w:sz w:val="20"/>
                <w:szCs w:val="20"/>
              </w:rPr>
              <w:t>UseCategory</w:t>
            </w:r>
            <w:proofErr w:type="spellEnd"/>
          </w:p>
        </w:tc>
        <w:tc>
          <w:tcPr>
            <w:tcW w:w="959" w:type="pct"/>
            <w:shd w:val="clear" w:color="auto" w:fill="D9D9D9" w:themeFill="background1" w:themeFillShade="D9"/>
          </w:tcPr>
          <w:p w:rsidR="00C106CC" w:rsidRPr="00C536D9" w:rsidRDefault="00C106CC" w:rsidP="00C536D9">
            <w:pPr>
              <w:rPr>
                <w:rFonts w:ascii="Times New Roman" w:hAnsi="Times New Roman"/>
                <w:b/>
                <w:sz w:val="20"/>
                <w:szCs w:val="20"/>
              </w:rPr>
            </w:pPr>
            <w:r w:rsidRPr="00C536D9">
              <w:rPr>
                <w:rFonts w:ascii="Times New Roman" w:hAnsi="Times New Roman"/>
                <w:b/>
                <w:sz w:val="20"/>
                <w:szCs w:val="20"/>
              </w:rPr>
              <w:t>EUL (Years)</w:t>
            </w:r>
          </w:p>
        </w:tc>
      </w:tr>
      <w:tr w:rsidR="00C106CC" w:rsidRPr="00C536D9" w:rsidTr="00C106CC">
        <w:trPr>
          <w:trHeight w:val="243"/>
        </w:trPr>
        <w:tc>
          <w:tcPr>
            <w:tcW w:w="972" w:type="pct"/>
          </w:tcPr>
          <w:p w:rsidR="00C106CC" w:rsidRPr="00A1452E" w:rsidRDefault="00C106CC" w:rsidP="009C59BE">
            <w:pPr>
              <w:rPr>
                <w:rFonts w:ascii="Times New Roman" w:hAnsi="Times New Roman"/>
                <w:sz w:val="20"/>
                <w:szCs w:val="20"/>
              </w:rPr>
            </w:pPr>
            <w:proofErr w:type="spellStart"/>
            <w:r w:rsidRPr="00A1452E">
              <w:rPr>
                <w:rFonts w:ascii="Times New Roman" w:hAnsi="Times New Roman"/>
                <w:sz w:val="20"/>
                <w:szCs w:val="20"/>
              </w:rPr>
              <w:t>OLtg-CFLfix</w:t>
            </w:r>
            <w:proofErr w:type="spellEnd"/>
          </w:p>
        </w:tc>
        <w:tc>
          <w:tcPr>
            <w:tcW w:w="1697" w:type="pct"/>
          </w:tcPr>
          <w:p w:rsidR="00C106CC" w:rsidRPr="00A1452E" w:rsidRDefault="00C106CC" w:rsidP="00C106CC">
            <w:pPr>
              <w:rPr>
                <w:rFonts w:ascii="Times New Roman" w:hAnsi="Times New Roman"/>
                <w:sz w:val="20"/>
                <w:szCs w:val="20"/>
              </w:rPr>
            </w:pPr>
            <w:r w:rsidRPr="00A1452E">
              <w:rPr>
                <w:rFonts w:ascii="Times New Roman" w:hAnsi="Times New Roman"/>
                <w:sz w:val="20"/>
                <w:szCs w:val="20"/>
              </w:rPr>
              <w:t>CFL Fixtures – Outdoor – Residential</w:t>
            </w:r>
          </w:p>
        </w:tc>
        <w:tc>
          <w:tcPr>
            <w:tcW w:w="559" w:type="pct"/>
          </w:tcPr>
          <w:p w:rsidR="00C106CC" w:rsidRPr="00A1452E" w:rsidRDefault="00C106CC" w:rsidP="00C536D9">
            <w:pPr>
              <w:rPr>
                <w:rFonts w:ascii="Times New Roman" w:hAnsi="Times New Roman"/>
                <w:sz w:val="20"/>
                <w:szCs w:val="20"/>
              </w:rPr>
            </w:pPr>
            <w:r w:rsidRPr="00A1452E">
              <w:rPr>
                <w:rFonts w:ascii="Times New Roman" w:hAnsi="Times New Roman"/>
                <w:sz w:val="20"/>
                <w:szCs w:val="20"/>
              </w:rPr>
              <w:t>Res</w:t>
            </w:r>
          </w:p>
        </w:tc>
        <w:tc>
          <w:tcPr>
            <w:tcW w:w="813" w:type="pct"/>
          </w:tcPr>
          <w:p w:rsidR="00C106CC" w:rsidRPr="00A1452E" w:rsidRDefault="00C106CC" w:rsidP="00C536D9">
            <w:pPr>
              <w:rPr>
                <w:rFonts w:ascii="Times New Roman" w:hAnsi="Times New Roman"/>
                <w:sz w:val="20"/>
                <w:szCs w:val="20"/>
              </w:rPr>
            </w:pPr>
            <w:r w:rsidRPr="00A1452E">
              <w:rPr>
                <w:rFonts w:ascii="Times New Roman" w:hAnsi="Times New Roman"/>
                <w:sz w:val="20"/>
                <w:szCs w:val="20"/>
              </w:rPr>
              <w:t>Lighting</w:t>
            </w:r>
          </w:p>
        </w:tc>
        <w:tc>
          <w:tcPr>
            <w:tcW w:w="959" w:type="pct"/>
          </w:tcPr>
          <w:p w:rsidR="00C106CC" w:rsidRPr="00A1452E" w:rsidRDefault="00C106CC" w:rsidP="00C536D9">
            <w:pPr>
              <w:rPr>
                <w:rFonts w:ascii="Times New Roman" w:hAnsi="Times New Roman"/>
                <w:sz w:val="20"/>
                <w:szCs w:val="20"/>
              </w:rPr>
            </w:pPr>
            <w:r w:rsidRPr="00A1452E">
              <w:rPr>
                <w:rFonts w:ascii="Times New Roman" w:hAnsi="Times New Roman"/>
                <w:sz w:val="20"/>
                <w:szCs w:val="20"/>
              </w:rPr>
              <w:t>16</w:t>
            </w:r>
          </w:p>
        </w:tc>
      </w:tr>
      <w:tr w:rsidR="00A1452E" w:rsidRPr="00C536D9" w:rsidTr="00C106CC">
        <w:trPr>
          <w:trHeight w:val="243"/>
        </w:trPr>
        <w:tc>
          <w:tcPr>
            <w:tcW w:w="972" w:type="pct"/>
          </w:tcPr>
          <w:p w:rsidR="00A1452E" w:rsidRPr="00A1452E" w:rsidRDefault="00A1452E" w:rsidP="009C59BE">
            <w:pPr>
              <w:rPr>
                <w:rFonts w:ascii="Times New Roman" w:hAnsi="Times New Roman"/>
                <w:color w:val="000000"/>
                <w:sz w:val="20"/>
                <w:szCs w:val="20"/>
              </w:rPr>
            </w:pPr>
            <w:proofErr w:type="spellStart"/>
            <w:r w:rsidRPr="00A1452E">
              <w:rPr>
                <w:rFonts w:ascii="Times New Roman" w:hAnsi="Times New Roman"/>
                <w:color w:val="000000"/>
                <w:sz w:val="20"/>
                <w:szCs w:val="20"/>
              </w:rPr>
              <w:t>OLtg-CFLfix-ResCmnArea</w:t>
            </w:r>
            <w:proofErr w:type="spellEnd"/>
          </w:p>
        </w:tc>
        <w:tc>
          <w:tcPr>
            <w:tcW w:w="1697" w:type="pct"/>
          </w:tcPr>
          <w:p w:rsidR="00A1452E" w:rsidRPr="00A1452E" w:rsidRDefault="00A1452E" w:rsidP="00C106CC">
            <w:pPr>
              <w:rPr>
                <w:rFonts w:ascii="Times New Roman" w:hAnsi="Times New Roman"/>
                <w:color w:val="000000"/>
                <w:sz w:val="20"/>
                <w:szCs w:val="20"/>
              </w:rPr>
            </w:pPr>
            <w:r w:rsidRPr="00A1452E">
              <w:rPr>
                <w:rFonts w:ascii="Times New Roman" w:hAnsi="Times New Roman"/>
                <w:color w:val="000000"/>
                <w:sz w:val="20"/>
                <w:szCs w:val="20"/>
              </w:rPr>
              <w:t>CFL Fixtures - Outdoor - Residential Common Area</w:t>
            </w:r>
          </w:p>
        </w:tc>
        <w:tc>
          <w:tcPr>
            <w:tcW w:w="559" w:type="pct"/>
          </w:tcPr>
          <w:p w:rsidR="00A1452E" w:rsidRPr="00A1452E" w:rsidRDefault="00A1452E" w:rsidP="00C536D9">
            <w:pPr>
              <w:rPr>
                <w:rFonts w:ascii="Times New Roman" w:hAnsi="Times New Roman"/>
                <w:sz w:val="20"/>
                <w:szCs w:val="20"/>
              </w:rPr>
            </w:pPr>
            <w:r w:rsidRPr="00A1452E">
              <w:rPr>
                <w:rFonts w:ascii="Times New Roman" w:hAnsi="Times New Roman"/>
                <w:sz w:val="20"/>
                <w:szCs w:val="20"/>
              </w:rPr>
              <w:t>Res</w:t>
            </w:r>
          </w:p>
        </w:tc>
        <w:tc>
          <w:tcPr>
            <w:tcW w:w="813" w:type="pct"/>
          </w:tcPr>
          <w:p w:rsidR="00A1452E" w:rsidRPr="00A1452E" w:rsidRDefault="00A1452E" w:rsidP="00C536D9">
            <w:pPr>
              <w:rPr>
                <w:rFonts w:ascii="Times New Roman" w:hAnsi="Times New Roman"/>
                <w:sz w:val="20"/>
                <w:szCs w:val="20"/>
              </w:rPr>
            </w:pPr>
            <w:r w:rsidRPr="00A1452E">
              <w:rPr>
                <w:rFonts w:ascii="Times New Roman" w:hAnsi="Times New Roman"/>
                <w:sz w:val="20"/>
                <w:szCs w:val="20"/>
              </w:rPr>
              <w:t>Lighting</w:t>
            </w:r>
          </w:p>
        </w:tc>
        <w:tc>
          <w:tcPr>
            <w:tcW w:w="959" w:type="pct"/>
          </w:tcPr>
          <w:p w:rsidR="00A1452E" w:rsidRPr="00A1452E" w:rsidRDefault="00A1452E" w:rsidP="00C536D9">
            <w:pPr>
              <w:rPr>
                <w:rFonts w:ascii="Times New Roman" w:hAnsi="Times New Roman"/>
                <w:sz w:val="20"/>
                <w:szCs w:val="20"/>
              </w:rPr>
            </w:pPr>
            <w:r w:rsidRPr="00A1452E">
              <w:rPr>
                <w:rFonts w:ascii="Times New Roman" w:hAnsi="Times New Roman"/>
                <w:sz w:val="20"/>
                <w:szCs w:val="20"/>
              </w:rPr>
              <w:t>15</w:t>
            </w:r>
          </w:p>
        </w:tc>
      </w:tr>
    </w:tbl>
    <w:p w:rsidR="00757055" w:rsidRDefault="00757055" w:rsidP="006F47AA"/>
    <w:p w:rsidR="00FF1EC7" w:rsidRDefault="00757055" w:rsidP="00757055">
      <w:bookmarkStart w:id="36" w:name="_Toc383697808"/>
      <w:bookmarkStart w:id="37" w:name="_Toc387418974"/>
      <w:bookmarkStart w:id="38" w:name="_Toc387827822"/>
      <w:r w:rsidRPr="00757055">
        <w:rPr>
          <w:rFonts w:ascii="Arial" w:hAnsi="Arial" w:cs="Arial"/>
          <w:b/>
          <w:bCs/>
          <w:i/>
          <w:iCs/>
          <w:sz w:val="28"/>
          <w:szCs w:val="28"/>
        </w:rPr>
        <w:t>1.4.2 Codes &amp; Standards Requirements Base Case and Measure Information</w:t>
      </w:r>
      <w:bookmarkEnd w:id="36"/>
      <w:bookmarkEnd w:id="37"/>
      <w:bookmarkEnd w:id="38"/>
    </w:p>
    <w:p w:rsidR="00FF1EC7" w:rsidRPr="00C106CC" w:rsidRDefault="00FF1EC7" w:rsidP="00580F3B">
      <w:r w:rsidRPr="00C106CC">
        <w:rPr>
          <w:b/>
        </w:rPr>
        <w:t>Title 20:</w:t>
      </w:r>
      <w:r w:rsidRPr="00C106CC">
        <w:t xml:space="preserve"> These measures do not fall under Title 20 of the California Energy Regulations.  </w:t>
      </w:r>
    </w:p>
    <w:p w:rsidR="00FF1EC7" w:rsidRPr="00C106CC" w:rsidRDefault="00FF1EC7" w:rsidP="00580F3B">
      <w:r w:rsidRPr="00C106CC">
        <w:rPr>
          <w:b/>
        </w:rPr>
        <w:t>Title 24:</w:t>
      </w:r>
      <w:r w:rsidRPr="00C106CC">
        <w:t xml:space="preserve"> This measure does not directly fall under Title 24 of the California Energy Regulations.  </w:t>
      </w:r>
    </w:p>
    <w:p w:rsidR="00FF1EC7" w:rsidRPr="00C106CC" w:rsidRDefault="00FF1EC7" w:rsidP="00580F3B">
      <w:r w:rsidRPr="00C106CC">
        <w:rPr>
          <w:b/>
        </w:rPr>
        <w:t>Federal Standards:</w:t>
      </w:r>
      <w:r w:rsidRPr="00C106CC">
        <w:t xml:space="preserve"> These measures do not fall under Federal DOE or EPA Energy Regulations.  </w:t>
      </w:r>
    </w:p>
    <w:p w:rsidR="00BD4801" w:rsidRPr="00D971BC" w:rsidRDefault="00757055" w:rsidP="00BD4801">
      <w:pPr>
        <w:pStyle w:val="Heading2"/>
        <w:keepNext w:val="0"/>
      </w:pPr>
      <w:bookmarkStart w:id="39" w:name="_Toc304800207"/>
      <w:bookmarkStart w:id="40" w:name="_Toc324318343"/>
      <w:bookmarkStart w:id="41" w:name="_Toc324340487"/>
      <w:bookmarkStart w:id="42" w:name="_Toc381279671"/>
      <w:bookmarkStart w:id="43" w:name="_Toc383697809"/>
      <w:bookmarkStart w:id="44" w:name="_Toc387418975"/>
      <w:bookmarkStart w:id="45" w:name="_Toc387827823"/>
      <w:bookmarkStart w:id="46" w:name="_Toc436750799"/>
      <w:r w:rsidRPr="00746B00">
        <w:t>1.4.3 EM&amp;V, Market Potential, and Other Studies – Base Case and Measure Case Information</w:t>
      </w:r>
      <w:bookmarkEnd w:id="39"/>
      <w:bookmarkEnd w:id="40"/>
      <w:bookmarkEnd w:id="41"/>
      <w:bookmarkEnd w:id="42"/>
      <w:bookmarkEnd w:id="43"/>
      <w:bookmarkEnd w:id="44"/>
      <w:bookmarkEnd w:id="45"/>
      <w:bookmarkEnd w:id="46"/>
    </w:p>
    <w:p w:rsidR="00BD4801" w:rsidRPr="002612CD" w:rsidRDefault="002612CD" w:rsidP="00BD4801">
      <w:r>
        <w:t>Some relevant lighting studies include</w:t>
      </w:r>
      <w:r w:rsidR="00BD4801" w:rsidRPr="00D971BC">
        <w:t xml:space="preserve"> </w:t>
      </w:r>
      <w:proofErr w:type="spellStart"/>
      <w:r w:rsidR="00BD4801" w:rsidRPr="00D971BC">
        <w:t>Heschong</w:t>
      </w:r>
      <w:proofErr w:type="spellEnd"/>
      <w:r w:rsidR="00BD4801" w:rsidRPr="00D971BC">
        <w:t xml:space="preserve"> </w:t>
      </w:r>
      <w:proofErr w:type="spellStart"/>
      <w:r w:rsidR="00BD4801" w:rsidRPr="00D971BC">
        <w:t>Mahone’s</w:t>
      </w:r>
      <w:proofErr w:type="spellEnd"/>
      <w:r w:rsidR="00BD4801" w:rsidRPr="00D971BC">
        <w:t xml:space="preserve"> </w:t>
      </w:r>
      <w:r w:rsidR="00BD4801" w:rsidRPr="00D971BC">
        <w:rPr>
          <w:i/>
        </w:rPr>
        <w:t xml:space="preserve">CEC Lighting Efficiency Technology </w:t>
      </w:r>
      <w:r w:rsidR="00BD4801" w:rsidRPr="006B5B39">
        <w:rPr>
          <w:i/>
        </w:rPr>
        <w:t>Report</w:t>
      </w:r>
      <w:bookmarkStart w:id="47" w:name="_Ref194901481"/>
      <w:r w:rsidR="006B5B39" w:rsidRPr="006B5B39">
        <w:rPr>
          <w:rStyle w:val="EndnoteReference"/>
        </w:rPr>
        <w:endnoteReference w:id="3"/>
      </w:r>
      <w:bookmarkEnd w:id="47"/>
      <w:r w:rsidR="00BD4801" w:rsidRPr="006B5B39">
        <w:rPr>
          <w:i/>
        </w:rPr>
        <w:t xml:space="preserve"> </w:t>
      </w:r>
      <w:r w:rsidRPr="006B5B39">
        <w:t>and</w:t>
      </w:r>
      <w:r>
        <w:t xml:space="preserve"> the 2005 KEMA </w:t>
      </w:r>
      <w:r>
        <w:rPr>
          <w:i/>
        </w:rPr>
        <w:t>CFL Metering Study</w:t>
      </w:r>
      <w:r>
        <w:t>.</w:t>
      </w:r>
    </w:p>
    <w:p w:rsidR="002612CD" w:rsidRDefault="002C02E8" w:rsidP="002C02E8">
      <w:pPr>
        <w:pStyle w:val="Heading2"/>
      </w:pPr>
      <w:bookmarkStart w:id="48" w:name="_Toc304800208"/>
      <w:bookmarkStart w:id="49" w:name="_Toc324318344"/>
      <w:bookmarkStart w:id="50" w:name="_Toc324340488"/>
      <w:bookmarkStart w:id="51" w:name="_Toc381279672"/>
      <w:bookmarkStart w:id="52" w:name="_Toc383697810"/>
      <w:bookmarkStart w:id="53" w:name="_Toc387418976"/>
      <w:bookmarkStart w:id="54" w:name="_Toc387827825"/>
      <w:bookmarkStart w:id="55" w:name="_Toc436750800"/>
      <w:r w:rsidRPr="00746B00">
        <w:t>1.4.4 Assumpti</w:t>
      </w:r>
      <w:r>
        <w:t xml:space="preserve">ons and Calculations from other sources </w:t>
      </w:r>
      <w:r w:rsidRPr="00746B00">
        <w:t>Base and Measure Cases</w:t>
      </w:r>
      <w:bookmarkEnd w:id="48"/>
      <w:bookmarkEnd w:id="49"/>
      <w:bookmarkEnd w:id="50"/>
      <w:bookmarkEnd w:id="51"/>
      <w:bookmarkEnd w:id="52"/>
      <w:bookmarkEnd w:id="53"/>
      <w:bookmarkEnd w:id="54"/>
      <w:bookmarkEnd w:id="55"/>
    </w:p>
    <w:p w:rsidR="003F04AE" w:rsidRDefault="002C02E8" w:rsidP="008026F9">
      <w:pPr>
        <w:tabs>
          <w:tab w:val="left" w:pos="1176"/>
        </w:tabs>
        <w:sectPr w:rsidR="003F04AE" w:rsidSect="008026F9">
          <w:endnotePr>
            <w:numFmt w:val="decimal"/>
          </w:endnotePr>
          <w:pgSz w:w="12240" w:h="15840"/>
          <w:pgMar w:top="1440" w:right="1440" w:bottom="1440" w:left="1440" w:header="720" w:footer="720" w:gutter="0"/>
          <w:pgNumType w:start="1" w:chapStyle="1"/>
          <w:cols w:space="720"/>
          <w:docGrid w:linePitch="360"/>
        </w:sectPr>
      </w:pPr>
      <w:r>
        <w:t>The savings calculation in this work</w:t>
      </w:r>
      <w:r w:rsidR="008026F9">
        <w:t xml:space="preserve"> </w:t>
      </w:r>
      <w:r>
        <w:t xml:space="preserve">paper followed the </w:t>
      </w:r>
      <w:r w:rsidR="008026F9">
        <w:t xml:space="preserve">2016 DEER and 2015 Uncertain Measures Update as well as the </w:t>
      </w:r>
      <w:r>
        <w:t>2014 DEER and Lighting Dis</w:t>
      </w:r>
      <w:r w:rsidR="008026F9">
        <w:t>position from December 14, 2013.</w:t>
      </w:r>
    </w:p>
    <w:p w:rsidR="00FF1EC7" w:rsidRDefault="008026F9" w:rsidP="00580F3B">
      <w:pPr>
        <w:pStyle w:val="Heading1"/>
      </w:pPr>
      <w:bookmarkStart w:id="56" w:name="_Toc436750801"/>
      <w:proofErr w:type="gramStart"/>
      <w:r>
        <w:lastRenderedPageBreak/>
        <w:t>S</w:t>
      </w:r>
      <w:r w:rsidR="00FF1EC7">
        <w:t>ection 2.</w:t>
      </w:r>
      <w:proofErr w:type="gramEnd"/>
      <w:r w:rsidR="00FF1EC7">
        <w:t xml:space="preserve"> Calculation Methods</w:t>
      </w:r>
      <w:bookmarkEnd w:id="56"/>
    </w:p>
    <w:p w:rsidR="002612CD" w:rsidRDefault="00FF1EC7" w:rsidP="00BD0E1F">
      <w:pPr>
        <w:pStyle w:val="Heading2"/>
      </w:pPr>
      <w:bookmarkStart w:id="57" w:name="_Toc436750802"/>
      <w:r>
        <w:t>2.1 Electric Energy Savings Estimation Methodologies</w:t>
      </w:r>
      <w:bookmarkEnd w:id="57"/>
    </w:p>
    <w:p w:rsidR="00A73177" w:rsidRDefault="00AC7A0F" w:rsidP="002612CD">
      <w:r w:rsidRPr="008B1123">
        <w:t xml:space="preserve">Energy savings were derived from </w:t>
      </w:r>
      <w:r>
        <w:t>201</w:t>
      </w:r>
      <w:r w:rsidR="00A13DED">
        <w:t>4</w:t>
      </w:r>
      <w:r>
        <w:t xml:space="preserve"> DEER residential exterior lighting methodology </w:t>
      </w:r>
      <w:r w:rsidRPr="008B1123">
        <w:t xml:space="preserve">for these measures.  </w:t>
      </w:r>
      <w:r w:rsidR="002612CD" w:rsidRPr="00A73177">
        <w:t xml:space="preserve"> </w:t>
      </w:r>
      <w:r w:rsidR="00A73177">
        <w:t>The replacement CFL wattage for a 60 Watt incandescent fixture was calculated using the 20</w:t>
      </w:r>
      <w:r>
        <w:t>1</w:t>
      </w:r>
      <w:r w:rsidR="00A13DED">
        <w:t>4</w:t>
      </w:r>
      <w:r w:rsidR="00A73177">
        <w:t xml:space="preserve"> DEER methodology</w:t>
      </w:r>
      <w:r w:rsidR="00A13DED">
        <w:t>.</w:t>
      </w:r>
      <w:r>
        <w:t xml:space="preserve"> No interactive effects were considered since these measures are for exterior fixtures in unconditioned space.</w:t>
      </w:r>
    </w:p>
    <w:p w:rsidR="00A73177" w:rsidRDefault="00A73177" w:rsidP="00A73177">
      <w:pPr>
        <w:ind w:left="720"/>
      </w:pPr>
    </w:p>
    <w:p w:rsidR="002612CD" w:rsidRDefault="002612CD" w:rsidP="002612CD">
      <w:r>
        <w:t>Annual Electric Savings:</w:t>
      </w:r>
    </w:p>
    <w:p w:rsidR="002612CD" w:rsidRDefault="002612CD" w:rsidP="002612CD">
      <w:pPr>
        <w:ind w:left="720"/>
      </w:pPr>
    </w:p>
    <w:p w:rsidR="002612CD" w:rsidRPr="00314A21" w:rsidRDefault="002612CD" w:rsidP="002612CD">
      <w:pPr>
        <w:ind w:left="720"/>
      </w:pPr>
      <w:r w:rsidRPr="00314A21">
        <w:t>Energy Savings [kWh/</w:t>
      </w:r>
      <w:r w:rsidR="009E2497" w:rsidRPr="00314A21">
        <w:t>fixture</w:t>
      </w:r>
      <w:r w:rsidRPr="00314A21">
        <w:t xml:space="preserve">] = </w:t>
      </w:r>
      <w:r w:rsidRPr="00314A21">
        <w:rPr>
          <w:u w:val="single"/>
        </w:rPr>
        <w:t>(∆Watts/unit) x (hours/day</w:t>
      </w:r>
      <w:proofErr w:type="gramStart"/>
      <w:r w:rsidRPr="00314A21">
        <w:rPr>
          <w:u w:val="single"/>
        </w:rPr>
        <w:t>)x</w:t>
      </w:r>
      <w:proofErr w:type="gramEnd"/>
      <w:r w:rsidRPr="00314A21">
        <w:rPr>
          <w:u w:val="single"/>
        </w:rPr>
        <w:t>(days/year)</w:t>
      </w:r>
      <w:r w:rsidR="009E2497" w:rsidRPr="00314A21">
        <w:rPr>
          <w:u w:val="single"/>
        </w:rPr>
        <w:t xml:space="preserve"> </w:t>
      </w:r>
    </w:p>
    <w:p w:rsidR="002612CD" w:rsidRPr="00314A21" w:rsidRDefault="002612CD" w:rsidP="002612CD">
      <w:pPr>
        <w:ind w:left="720"/>
      </w:pPr>
      <w:r w:rsidRPr="00314A21">
        <w:tab/>
      </w:r>
      <w:r w:rsidRPr="00314A21">
        <w:tab/>
      </w:r>
      <w:r w:rsidRPr="00314A21">
        <w:tab/>
      </w:r>
      <w:r w:rsidRPr="00314A21">
        <w:tab/>
        <w:t xml:space="preserve"> </w:t>
      </w:r>
      <w:r w:rsidR="00837F60">
        <w:tab/>
      </w:r>
      <w:r w:rsidRPr="00314A21">
        <w:t xml:space="preserve">    1,000 Watts / kW</w:t>
      </w:r>
    </w:p>
    <w:p w:rsidR="00A13DED" w:rsidRDefault="00A13DED" w:rsidP="002612CD">
      <w:pPr>
        <w:ind w:left="720"/>
        <w:rPr>
          <w:b/>
        </w:rPr>
      </w:pPr>
    </w:p>
    <w:p w:rsidR="002612CD" w:rsidRPr="00314A21" w:rsidRDefault="002612CD" w:rsidP="002612CD">
      <w:pPr>
        <w:ind w:left="720"/>
        <w:rPr>
          <w:b/>
        </w:rPr>
      </w:pPr>
      <w:r w:rsidRPr="00314A21">
        <w:rPr>
          <w:b/>
        </w:rPr>
        <w:t>L855:</w:t>
      </w:r>
    </w:p>
    <w:p w:rsidR="002612CD" w:rsidRPr="00314A21" w:rsidRDefault="002612CD" w:rsidP="002612CD">
      <w:pPr>
        <w:ind w:left="720"/>
      </w:pPr>
      <w:r w:rsidRPr="00314A21">
        <w:t>Energy Savings [kWh/</w:t>
      </w:r>
      <w:r w:rsidR="009E2497" w:rsidRPr="00314A21">
        <w:t xml:space="preserve"> fixture</w:t>
      </w:r>
      <w:r w:rsidRPr="00314A21">
        <w:t xml:space="preserve">] </w:t>
      </w:r>
      <w:proofErr w:type="gramStart"/>
      <w:r w:rsidRPr="00314A21">
        <w:t>=(</w:t>
      </w:r>
      <w:proofErr w:type="gramEnd"/>
      <w:r w:rsidR="008026F9">
        <w:t>15*3.53-15</w:t>
      </w:r>
      <w:r w:rsidRPr="00314A21">
        <w:t>W)</w:t>
      </w:r>
      <w:r w:rsidR="009E2497" w:rsidRPr="00314A21">
        <w:t xml:space="preserve"> </w:t>
      </w:r>
      <w:r w:rsidRPr="00314A21">
        <w:t>x</w:t>
      </w:r>
      <w:r w:rsidR="009E2497" w:rsidRPr="00314A21">
        <w:t xml:space="preserve"> </w:t>
      </w:r>
      <w:r w:rsidRPr="00314A21">
        <w:t>(</w:t>
      </w:r>
      <w:r w:rsidR="00A13DED">
        <w:t>3390</w:t>
      </w:r>
      <w:r w:rsidR="00D3686C">
        <w:t xml:space="preserve"> </w:t>
      </w:r>
      <w:proofErr w:type="spellStart"/>
      <w:r w:rsidR="00D3686C">
        <w:t>hrs</w:t>
      </w:r>
      <w:proofErr w:type="spellEnd"/>
      <w:r w:rsidRPr="00314A21">
        <w:t>/</w:t>
      </w:r>
      <w:proofErr w:type="spellStart"/>
      <w:r w:rsidRPr="00314A21">
        <w:t>yr</w:t>
      </w:r>
      <w:proofErr w:type="spellEnd"/>
      <w:r w:rsidRPr="00314A21">
        <w:t>)</w:t>
      </w:r>
      <w:r w:rsidR="005C4B38">
        <w:t xml:space="preserve"> </w:t>
      </w:r>
      <w:r w:rsidRPr="00314A21">
        <w:t>/</w:t>
      </w:r>
      <w:r w:rsidR="009E2497" w:rsidRPr="00314A21">
        <w:t xml:space="preserve"> </w:t>
      </w:r>
      <w:r w:rsidRPr="00314A21">
        <w:t>(1,000W/kW)</w:t>
      </w:r>
    </w:p>
    <w:p w:rsidR="002612CD" w:rsidRPr="00314A21" w:rsidRDefault="002612CD" w:rsidP="002612CD">
      <w:pPr>
        <w:ind w:left="2160" w:firstLine="720"/>
      </w:pPr>
      <w:r w:rsidRPr="00314A21">
        <w:t xml:space="preserve">= </w:t>
      </w:r>
      <w:r w:rsidR="008026F9">
        <w:t>129</w:t>
      </w:r>
      <w:r w:rsidRPr="00314A21">
        <w:t xml:space="preserve"> kWh annually</w:t>
      </w:r>
      <w:r w:rsidRPr="00314A21">
        <w:rPr>
          <w:bCs/>
        </w:rPr>
        <w:t xml:space="preserve"> </w:t>
      </w:r>
    </w:p>
    <w:p w:rsidR="002612CD" w:rsidRPr="00314A21" w:rsidRDefault="002612CD" w:rsidP="002612CD">
      <w:pPr>
        <w:ind w:left="720"/>
        <w:rPr>
          <w:b/>
        </w:rPr>
      </w:pPr>
      <w:r w:rsidRPr="00314A21">
        <w:rPr>
          <w:b/>
        </w:rPr>
        <w:t>L811:</w:t>
      </w:r>
    </w:p>
    <w:p w:rsidR="002612CD" w:rsidRPr="00314A21" w:rsidRDefault="002612CD" w:rsidP="002612CD">
      <w:pPr>
        <w:ind w:left="720"/>
      </w:pPr>
      <w:r w:rsidRPr="00314A21">
        <w:t>Energy Savings [kWh/</w:t>
      </w:r>
      <w:r w:rsidR="009E2497" w:rsidRPr="00314A21">
        <w:t xml:space="preserve"> fixture</w:t>
      </w:r>
      <w:r w:rsidRPr="00314A21">
        <w:t xml:space="preserve">] </w:t>
      </w:r>
      <w:proofErr w:type="gramStart"/>
      <w:r w:rsidRPr="00314A21">
        <w:t>=(</w:t>
      </w:r>
      <w:proofErr w:type="gramEnd"/>
      <w:r w:rsidR="008026F9">
        <w:t>15*3.53-15</w:t>
      </w:r>
      <w:r w:rsidRPr="00314A21">
        <w:t>W)</w:t>
      </w:r>
      <w:r w:rsidR="009E2497" w:rsidRPr="00314A21">
        <w:t xml:space="preserve"> </w:t>
      </w:r>
      <w:r w:rsidRPr="00314A21">
        <w:t>x</w:t>
      </w:r>
      <w:r w:rsidR="009E2497" w:rsidRPr="00314A21">
        <w:t xml:space="preserve"> </w:t>
      </w:r>
      <w:r w:rsidRPr="00314A21">
        <w:t>(</w:t>
      </w:r>
      <w:r w:rsidR="00837F60">
        <w:t>1249</w:t>
      </w:r>
      <w:r w:rsidR="009E2497" w:rsidRPr="00314A21">
        <w:t xml:space="preserve"> </w:t>
      </w:r>
      <w:proofErr w:type="spellStart"/>
      <w:r w:rsidR="009E2497" w:rsidRPr="00314A21">
        <w:t>hrs</w:t>
      </w:r>
      <w:proofErr w:type="spellEnd"/>
      <w:r w:rsidRPr="00314A21">
        <w:t>/</w:t>
      </w:r>
      <w:proofErr w:type="spellStart"/>
      <w:r w:rsidRPr="00314A21">
        <w:t>yr</w:t>
      </w:r>
      <w:proofErr w:type="spellEnd"/>
      <w:r w:rsidRPr="00314A21">
        <w:t>)</w:t>
      </w:r>
      <w:r w:rsidR="005C4B38">
        <w:t xml:space="preserve"> </w:t>
      </w:r>
      <w:r w:rsidRPr="00314A21">
        <w:t>/(1,000W/kW)</w:t>
      </w:r>
    </w:p>
    <w:p w:rsidR="0088584C" w:rsidRDefault="002612CD" w:rsidP="00646AA1">
      <w:pPr>
        <w:ind w:left="2160" w:firstLine="720"/>
      </w:pPr>
      <w:r w:rsidRPr="00B462FB">
        <w:t xml:space="preserve">= </w:t>
      </w:r>
      <w:r w:rsidR="00837F60">
        <w:t>47.4</w:t>
      </w:r>
      <w:r w:rsidRPr="00B462FB">
        <w:t xml:space="preserve"> kWh annually</w:t>
      </w:r>
      <w:r w:rsidRPr="00B462FB">
        <w:tab/>
      </w:r>
      <w:bookmarkStart w:id="58" w:name="_Toc186621664"/>
    </w:p>
    <w:p w:rsidR="00646AA1" w:rsidRPr="00646AA1" w:rsidRDefault="00646AA1" w:rsidP="00646AA1">
      <w:pPr>
        <w:ind w:left="2160" w:firstLine="720"/>
        <w:rPr>
          <w:i/>
        </w:rPr>
      </w:pPr>
    </w:p>
    <w:p w:rsidR="00FF1EC7" w:rsidRPr="003F04AE" w:rsidRDefault="00FF1EC7" w:rsidP="00580F3B">
      <w:pPr>
        <w:pStyle w:val="Heading2"/>
        <w:keepNext w:val="0"/>
      </w:pPr>
      <w:bookmarkStart w:id="59" w:name="_Toc436750803"/>
      <w:r w:rsidRPr="003F04AE">
        <w:t>2.2. Demand Reduction Estimation Methodologies</w:t>
      </w:r>
      <w:bookmarkEnd w:id="58"/>
      <w:bookmarkEnd w:id="59"/>
    </w:p>
    <w:p w:rsidR="00837F60" w:rsidRDefault="00837F60" w:rsidP="00580F3B">
      <w:r>
        <w:t>The demand savings estimation follows the equation below:</w:t>
      </w:r>
    </w:p>
    <w:p w:rsidR="00837F60" w:rsidRDefault="00837F60" w:rsidP="00837F60"/>
    <w:p w:rsidR="00837F60" w:rsidRPr="00C56FEC" w:rsidRDefault="00837F60" w:rsidP="00837F60">
      <w:pPr>
        <w:ind w:left="720"/>
        <w:rPr>
          <w:i/>
          <w:sz w:val="20"/>
          <w:szCs w:val="20"/>
        </w:rPr>
      </w:pPr>
      <w:r>
        <w:rPr>
          <w:i/>
          <w:sz w:val="20"/>
          <w:szCs w:val="20"/>
        </w:rPr>
        <w:t>Annual Demand</w:t>
      </w:r>
      <w:r w:rsidRPr="00C56FEC">
        <w:rPr>
          <w:i/>
          <w:sz w:val="20"/>
          <w:szCs w:val="20"/>
        </w:rPr>
        <w:t xml:space="preserve"> Savings [kW/Unit] = </w:t>
      </w:r>
      <w:r w:rsidRPr="00C56FEC">
        <w:rPr>
          <w:i/>
          <w:sz w:val="20"/>
          <w:szCs w:val="20"/>
          <w:u w:val="single"/>
        </w:rPr>
        <w:t>(∆Watts/unit)* CDF * HVAC IE</w:t>
      </w:r>
    </w:p>
    <w:p w:rsidR="00837F60" w:rsidRDefault="00837F60" w:rsidP="00837F60">
      <w:pPr>
        <w:rPr>
          <w:i/>
          <w:sz w:val="20"/>
          <w:szCs w:val="20"/>
        </w:rPr>
      </w:pPr>
      <w:r w:rsidRPr="00C56FEC">
        <w:rPr>
          <w:i/>
          <w:sz w:val="20"/>
          <w:szCs w:val="20"/>
        </w:rPr>
        <w:tab/>
      </w:r>
      <w:r w:rsidRPr="00C56FEC">
        <w:rPr>
          <w:i/>
          <w:sz w:val="20"/>
          <w:szCs w:val="20"/>
        </w:rPr>
        <w:tab/>
      </w:r>
      <w:r w:rsidRPr="00C56FEC">
        <w:rPr>
          <w:i/>
          <w:sz w:val="20"/>
          <w:szCs w:val="20"/>
        </w:rPr>
        <w:tab/>
      </w:r>
      <w:r w:rsidRPr="00C56FEC">
        <w:rPr>
          <w:i/>
          <w:sz w:val="20"/>
          <w:szCs w:val="20"/>
        </w:rPr>
        <w:tab/>
        <w:t xml:space="preserve">  </w:t>
      </w:r>
      <w:r>
        <w:rPr>
          <w:i/>
          <w:sz w:val="20"/>
          <w:szCs w:val="20"/>
        </w:rPr>
        <w:tab/>
      </w:r>
      <w:r>
        <w:rPr>
          <w:i/>
          <w:sz w:val="20"/>
          <w:szCs w:val="20"/>
        </w:rPr>
        <w:tab/>
      </w:r>
      <w:r w:rsidRPr="00C56FEC">
        <w:rPr>
          <w:i/>
          <w:sz w:val="20"/>
          <w:szCs w:val="20"/>
        </w:rPr>
        <w:t xml:space="preserve">   1,000 Watts / kW</w:t>
      </w:r>
    </w:p>
    <w:p w:rsidR="00837F60" w:rsidRDefault="00837F60" w:rsidP="00837F60"/>
    <w:p w:rsidR="00837F60" w:rsidRDefault="00837F60" w:rsidP="00837F60">
      <w:r>
        <w:t>The demand savings calculations are presented below:</w:t>
      </w:r>
    </w:p>
    <w:p w:rsidR="00837F60" w:rsidRDefault="00837F60" w:rsidP="00837F60">
      <w:pPr>
        <w:ind w:left="720"/>
        <w:rPr>
          <w:b/>
        </w:rPr>
      </w:pPr>
    </w:p>
    <w:p w:rsidR="00837F60" w:rsidRPr="00314A21" w:rsidRDefault="00837F60" w:rsidP="00837F60">
      <w:pPr>
        <w:ind w:left="720"/>
        <w:rPr>
          <w:b/>
        </w:rPr>
      </w:pPr>
      <w:r w:rsidRPr="00314A21">
        <w:rPr>
          <w:b/>
        </w:rPr>
        <w:t>L8</w:t>
      </w:r>
      <w:r>
        <w:rPr>
          <w:b/>
        </w:rPr>
        <w:t>11</w:t>
      </w:r>
      <w:r w:rsidRPr="00314A21">
        <w:rPr>
          <w:b/>
        </w:rPr>
        <w:t>:</w:t>
      </w:r>
    </w:p>
    <w:p w:rsidR="00837F60" w:rsidRPr="00314A21" w:rsidRDefault="00837F60" w:rsidP="00837F60">
      <w:pPr>
        <w:ind w:left="720"/>
      </w:pPr>
      <w:r>
        <w:t>Annual Demand Savings</w:t>
      </w:r>
      <w:r w:rsidRPr="00314A21">
        <w:t xml:space="preserve"> [kW/ fixture] </w:t>
      </w:r>
      <w:proofErr w:type="gramStart"/>
      <w:r w:rsidRPr="00314A21">
        <w:t>=(</w:t>
      </w:r>
      <w:proofErr w:type="gramEnd"/>
      <w:r>
        <w:t>15*3.53-15</w:t>
      </w:r>
      <w:r w:rsidRPr="00314A21">
        <w:t>W) x (</w:t>
      </w:r>
      <w:r>
        <w:t>0</w:t>
      </w:r>
      <w:r w:rsidRPr="00314A21">
        <w:t>)</w:t>
      </w:r>
      <w:r>
        <w:t xml:space="preserve"> </w:t>
      </w:r>
      <w:r w:rsidRPr="00314A21">
        <w:t>/ (1,000W/kW)</w:t>
      </w:r>
    </w:p>
    <w:p w:rsidR="00837F60" w:rsidRDefault="00837F60" w:rsidP="00837F60">
      <w:pPr>
        <w:tabs>
          <w:tab w:val="left" w:pos="4500"/>
        </w:tabs>
      </w:pPr>
      <w:r>
        <w:tab/>
        <w:t>= 0</w:t>
      </w:r>
      <w:r w:rsidRPr="00314A21">
        <w:t xml:space="preserve"> kW annually</w:t>
      </w:r>
    </w:p>
    <w:p w:rsidR="00837F60" w:rsidRDefault="00837F60" w:rsidP="00837F60"/>
    <w:p w:rsidR="00837F60" w:rsidRPr="00314A21" w:rsidRDefault="00837F60" w:rsidP="00837F60">
      <w:pPr>
        <w:ind w:left="720"/>
        <w:rPr>
          <w:b/>
        </w:rPr>
      </w:pPr>
      <w:r w:rsidRPr="00314A21">
        <w:rPr>
          <w:b/>
        </w:rPr>
        <w:t>L855:</w:t>
      </w:r>
    </w:p>
    <w:p w:rsidR="00837F60" w:rsidRPr="00314A21" w:rsidRDefault="00837F60" w:rsidP="00837F60">
      <w:pPr>
        <w:ind w:left="720"/>
      </w:pPr>
      <w:r>
        <w:t>Annual Demand Savings</w:t>
      </w:r>
      <w:r w:rsidRPr="00314A21">
        <w:t xml:space="preserve"> [kW/ fixture] </w:t>
      </w:r>
      <w:proofErr w:type="gramStart"/>
      <w:r w:rsidRPr="00314A21">
        <w:t>=(</w:t>
      </w:r>
      <w:proofErr w:type="gramEnd"/>
      <w:r>
        <w:t>15*3.53-15</w:t>
      </w:r>
      <w:r w:rsidRPr="00314A21">
        <w:t>W) x (</w:t>
      </w:r>
      <w:r>
        <w:t>0.09</w:t>
      </w:r>
      <w:r w:rsidRPr="00314A21">
        <w:t>)</w:t>
      </w:r>
      <w:r>
        <w:t xml:space="preserve"> x 1</w:t>
      </w:r>
      <w:r w:rsidRPr="00314A21">
        <w:t>/ (1,000W/kW)</w:t>
      </w:r>
    </w:p>
    <w:p w:rsidR="00837F60" w:rsidRDefault="00837F60" w:rsidP="00837F60">
      <w:pPr>
        <w:tabs>
          <w:tab w:val="left" w:pos="4500"/>
        </w:tabs>
      </w:pPr>
      <w:r>
        <w:tab/>
        <w:t>= 0.00342</w:t>
      </w:r>
      <w:r w:rsidRPr="00314A21">
        <w:t xml:space="preserve"> kW annually</w:t>
      </w:r>
      <w:r w:rsidRPr="00837F60">
        <w:t xml:space="preserve"> </w:t>
      </w:r>
    </w:p>
    <w:p w:rsidR="00FF1EC7" w:rsidRPr="003F04AE" w:rsidRDefault="00FF1EC7" w:rsidP="00580F3B">
      <w:pPr>
        <w:pStyle w:val="Heading2"/>
      </w:pPr>
      <w:bookmarkStart w:id="60" w:name="_Toc186621665"/>
      <w:bookmarkStart w:id="61" w:name="_Toc436750804"/>
      <w:r w:rsidRPr="003F04AE">
        <w:t>2.3. Gas Energy Savings Estimation Methodologies</w:t>
      </w:r>
      <w:bookmarkEnd w:id="60"/>
      <w:bookmarkEnd w:id="61"/>
    </w:p>
    <w:p w:rsidR="00314A21" w:rsidRPr="00314A21" w:rsidRDefault="00314A21" w:rsidP="00314A21">
      <w:r>
        <w:t xml:space="preserve">Because these CFL fixtures are exterior, they are assumed to be located in unconditioned spaces.  Therefore no gas impacts due to HVAC interactive effects have been included.  There </w:t>
      </w:r>
      <w:r w:rsidR="000F33A7">
        <w:t>is</w:t>
      </w:r>
      <w:r>
        <w:t xml:space="preserve"> also no gas savings associated with these electric measures.</w:t>
      </w:r>
    </w:p>
    <w:p w:rsidR="00FF1EC7" w:rsidRDefault="00FF1EC7" w:rsidP="00580F3B">
      <w:pPr>
        <w:rPr>
          <w:sz w:val="20"/>
          <w:szCs w:val="20"/>
        </w:rPr>
      </w:pPr>
    </w:p>
    <w:p w:rsidR="008026F9" w:rsidRDefault="008026F9">
      <w:pPr>
        <w:rPr>
          <w:rFonts w:ascii="Arial" w:hAnsi="Arial" w:cs="Arial"/>
          <w:b/>
          <w:bCs/>
          <w:kern w:val="32"/>
          <w:sz w:val="32"/>
          <w:szCs w:val="32"/>
        </w:rPr>
      </w:pPr>
      <w:bookmarkStart w:id="62" w:name="_Toc186621666"/>
      <w:r>
        <w:br w:type="page"/>
      </w:r>
    </w:p>
    <w:p w:rsidR="00FF1EC7" w:rsidRPr="003F04AE" w:rsidRDefault="00FF1EC7" w:rsidP="00580F3B">
      <w:pPr>
        <w:pStyle w:val="Heading1"/>
      </w:pPr>
      <w:bookmarkStart w:id="63" w:name="_Toc436750805"/>
      <w:proofErr w:type="gramStart"/>
      <w:r w:rsidRPr="003F04AE">
        <w:lastRenderedPageBreak/>
        <w:t>Section 3.</w:t>
      </w:r>
      <w:proofErr w:type="gramEnd"/>
      <w:r w:rsidRPr="003F04AE">
        <w:t xml:space="preserve"> Load Shapes</w:t>
      </w:r>
      <w:bookmarkEnd w:id="62"/>
      <w:bookmarkEnd w:id="63"/>
      <w:r w:rsidRPr="003F04AE">
        <w:t xml:space="preserve"> </w:t>
      </w:r>
    </w:p>
    <w:p w:rsidR="00FF1EC7" w:rsidRDefault="00FF1EC7" w:rsidP="00580F3B">
      <w:pPr>
        <w:autoSpaceDE w:val="0"/>
        <w:autoSpaceDN w:val="0"/>
        <w:adjustRightInd w:val="0"/>
      </w:pPr>
      <w:r>
        <w:t>The Load Shapes for the Measure are identical to the Base Case.  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7637BF" w:rsidRPr="007637BF">
        <w:rPr>
          <w:rFonts w:ascii="Arial" w:hAnsi="Arial" w:cs="Arial"/>
          <w:sz w:val="20"/>
          <w:szCs w:val="20"/>
        </w:rPr>
        <w:t xml:space="preserve"> </w:t>
      </w:r>
    </w:p>
    <w:p w:rsidR="00FF1EC7" w:rsidRPr="003F04AE" w:rsidRDefault="00FF1EC7" w:rsidP="00580F3B">
      <w:pPr>
        <w:pStyle w:val="Heading2"/>
        <w:keepNext w:val="0"/>
      </w:pPr>
      <w:bookmarkStart w:id="64" w:name="_Toc186621667"/>
      <w:bookmarkStart w:id="65" w:name="_Toc436750806"/>
      <w:r w:rsidRPr="003F04AE">
        <w:t>3.1 Base Case Load Shapes</w:t>
      </w:r>
      <w:bookmarkEnd w:id="64"/>
      <w:bookmarkEnd w:id="65"/>
    </w:p>
    <w:p w:rsidR="00FF1EC7" w:rsidRDefault="00FF1EC7" w:rsidP="00580F3B">
      <w:r>
        <w:t>The base case load shape would be expected to follow a typical exterior lighting load shape.</w:t>
      </w:r>
    </w:p>
    <w:p w:rsidR="00FF1EC7" w:rsidRPr="003F04AE" w:rsidRDefault="00FF1EC7" w:rsidP="00580F3B">
      <w:pPr>
        <w:pStyle w:val="Heading2"/>
        <w:keepNext w:val="0"/>
      </w:pPr>
      <w:bookmarkStart w:id="66" w:name="_Toc186621668"/>
      <w:bookmarkStart w:id="67" w:name="_Toc436750807"/>
      <w:r w:rsidRPr="003F04AE">
        <w:t>3.2 Measure Load Shapes</w:t>
      </w:r>
      <w:bookmarkEnd w:id="66"/>
      <w:bookmarkEnd w:id="67"/>
    </w:p>
    <w:p w:rsidR="00FF1EC7" w:rsidRDefault="00FF1EC7" w:rsidP="00580F3B">
      <w:r>
        <w:t>For purposes of the net benefits estimates in the E3 calculator, what is required is the load shape</w:t>
      </w:r>
      <w:r>
        <w:fldChar w:fldCharType="begin"/>
      </w:r>
      <w:r>
        <w:instrText xml:space="preserve"> XE "load shape" </w:instrText>
      </w:r>
      <w:r>
        <w:fldChar w:fldCharType="end"/>
      </w:r>
      <w:r>
        <w:t xml:space="preserve"> that ideally represents the </w:t>
      </w:r>
      <w:r>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F1EC7" w:rsidRDefault="00FF1EC7" w:rsidP="00580F3B"/>
    <w:p w:rsidR="00FF1EC7" w:rsidRDefault="00FF1EC7" w:rsidP="00580F3B">
      <w:r>
        <w:t>The measure load shape for this measure as determined by the E3 calculator would be based on the applicable market sector and lighting end-use. However, the load shape with the measure compared to that with the base case is identical.</w:t>
      </w:r>
      <w:r w:rsidR="000C00D8">
        <w:t xml:space="preserve">  The closest load shape for these measures is listed below:</w:t>
      </w:r>
    </w:p>
    <w:p w:rsidR="00DD22A4" w:rsidRDefault="00DD22A4" w:rsidP="00580F3B"/>
    <w:p w:rsidR="00DD22A4" w:rsidRDefault="00DD22A4" w:rsidP="00DD22A4">
      <w:pPr>
        <w:pStyle w:val="Caption"/>
        <w:jc w:val="center"/>
      </w:pPr>
      <w:bookmarkStart w:id="68" w:name="_Toc436750788"/>
      <w:r>
        <w:t xml:space="preserve">Table </w:t>
      </w:r>
      <w:fldSimple w:instr=" SEQ Table \* ARABIC ">
        <w:r w:rsidR="009C59BE">
          <w:rPr>
            <w:noProof/>
          </w:rPr>
          <w:t>6</w:t>
        </w:r>
      </w:fldSimple>
      <w:r>
        <w:t xml:space="preserve"> Building Types and Load Shapes</w:t>
      </w:r>
      <w:bookmarkEnd w:id="68"/>
    </w:p>
    <w:tbl>
      <w:tblPr>
        <w:tblStyle w:val="TableGrid1"/>
        <w:tblW w:w="5000" w:type="pct"/>
        <w:tblLook w:val="01E0" w:firstRow="1" w:lastRow="1" w:firstColumn="1" w:lastColumn="1" w:noHBand="0" w:noVBand="0"/>
      </w:tblPr>
      <w:tblGrid>
        <w:gridCol w:w="3229"/>
        <w:gridCol w:w="3407"/>
        <w:gridCol w:w="2940"/>
      </w:tblGrid>
      <w:tr w:rsidR="00DD22A4" w:rsidRPr="00DD22A4" w:rsidTr="009C59BE">
        <w:tc>
          <w:tcPr>
            <w:tcW w:w="1686" w:type="pct"/>
            <w:shd w:val="clear" w:color="auto" w:fill="D9D9D9" w:themeFill="background1" w:themeFillShade="D9"/>
          </w:tcPr>
          <w:p w:rsidR="00DD22A4" w:rsidRPr="00DD22A4" w:rsidRDefault="00DD22A4" w:rsidP="009C59BE">
            <w:pPr>
              <w:rPr>
                <w:rFonts w:ascii="Times New Roman" w:hAnsi="Times New Roman"/>
                <w:b/>
                <w:sz w:val="20"/>
                <w:szCs w:val="20"/>
                <w:highlight w:val="yellow"/>
              </w:rPr>
            </w:pPr>
            <w:bookmarkStart w:id="69" w:name="_Toc186621669"/>
            <w:r w:rsidRPr="00DD22A4">
              <w:rPr>
                <w:rFonts w:ascii="Times New Roman" w:hAnsi="Times New Roman"/>
                <w:b/>
                <w:sz w:val="20"/>
                <w:szCs w:val="20"/>
              </w:rPr>
              <w:t>Building Type</w:t>
            </w:r>
          </w:p>
        </w:tc>
        <w:tc>
          <w:tcPr>
            <w:tcW w:w="1779" w:type="pct"/>
            <w:shd w:val="clear" w:color="auto" w:fill="D9D9D9" w:themeFill="background1" w:themeFillShade="D9"/>
          </w:tcPr>
          <w:p w:rsidR="00DD22A4" w:rsidRPr="00DD22A4" w:rsidRDefault="00DD22A4" w:rsidP="009C59BE">
            <w:pPr>
              <w:rPr>
                <w:rFonts w:ascii="Times New Roman" w:hAnsi="Times New Roman"/>
                <w:b/>
                <w:sz w:val="20"/>
                <w:szCs w:val="20"/>
              </w:rPr>
            </w:pPr>
            <w:r w:rsidRPr="00DD22A4">
              <w:rPr>
                <w:rFonts w:ascii="Times New Roman" w:hAnsi="Times New Roman"/>
                <w:b/>
                <w:sz w:val="20"/>
                <w:szCs w:val="20"/>
              </w:rPr>
              <w:t>Load Shape</w:t>
            </w:r>
          </w:p>
        </w:tc>
        <w:tc>
          <w:tcPr>
            <w:tcW w:w="1535" w:type="pct"/>
            <w:shd w:val="clear" w:color="auto" w:fill="D9D9D9" w:themeFill="background1" w:themeFillShade="D9"/>
          </w:tcPr>
          <w:p w:rsidR="00DD22A4" w:rsidRPr="00DD22A4" w:rsidRDefault="00DD22A4" w:rsidP="009C59BE">
            <w:pPr>
              <w:rPr>
                <w:rFonts w:ascii="Times New Roman" w:hAnsi="Times New Roman"/>
                <w:b/>
                <w:sz w:val="20"/>
                <w:szCs w:val="20"/>
                <w:highlight w:val="yellow"/>
              </w:rPr>
            </w:pPr>
            <w:r w:rsidRPr="00DD22A4">
              <w:rPr>
                <w:rFonts w:ascii="Times New Roman" w:hAnsi="Times New Roman"/>
                <w:b/>
                <w:sz w:val="20"/>
                <w:szCs w:val="20"/>
              </w:rPr>
              <w:t>E3 Alternate Building Type</w:t>
            </w:r>
          </w:p>
        </w:tc>
      </w:tr>
      <w:tr w:rsidR="007751A6" w:rsidRPr="00DD22A4" w:rsidTr="009C59BE">
        <w:tc>
          <w:tcPr>
            <w:tcW w:w="1686" w:type="pct"/>
          </w:tcPr>
          <w:p w:rsidR="007751A6" w:rsidRPr="007751A6" w:rsidRDefault="007751A6" w:rsidP="009C59BE">
            <w:pPr>
              <w:rPr>
                <w:rFonts w:ascii="Times New Roman" w:hAnsi="Times New Roman"/>
                <w:sz w:val="20"/>
                <w:szCs w:val="20"/>
              </w:rPr>
            </w:pPr>
            <w:r>
              <w:rPr>
                <w:rFonts w:ascii="Times New Roman" w:hAnsi="Times New Roman"/>
                <w:sz w:val="20"/>
                <w:szCs w:val="20"/>
              </w:rPr>
              <w:t>Commercial</w:t>
            </w:r>
          </w:p>
        </w:tc>
        <w:tc>
          <w:tcPr>
            <w:tcW w:w="1779" w:type="pct"/>
          </w:tcPr>
          <w:p w:rsidR="007751A6" w:rsidRPr="007751A6" w:rsidRDefault="007751A6" w:rsidP="009C59BE">
            <w:pPr>
              <w:rPr>
                <w:rFonts w:ascii="Times New Roman" w:hAnsi="Times New Roman"/>
                <w:sz w:val="20"/>
                <w:szCs w:val="20"/>
              </w:rPr>
            </w:pPr>
            <w:proofErr w:type="spellStart"/>
            <w:r w:rsidRPr="007751A6">
              <w:rPr>
                <w:rFonts w:ascii="Times New Roman" w:hAnsi="Times New Roman"/>
                <w:sz w:val="20"/>
                <w:szCs w:val="20"/>
              </w:rPr>
              <w:t>PGE:DEER:Com:Indoor_CFL_Ltg</w:t>
            </w:r>
            <w:proofErr w:type="spellEnd"/>
          </w:p>
        </w:tc>
        <w:tc>
          <w:tcPr>
            <w:tcW w:w="1535" w:type="pct"/>
          </w:tcPr>
          <w:p w:rsidR="007751A6" w:rsidRPr="007751A6" w:rsidRDefault="007751A6" w:rsidP="009C59BE">
            <w:pPr>
              <w:rPr>
                <w:rFonts w:ascii="Times New Roman" w:hAnsi="Times New Roman"/>
                <w:sz w:val="20"/>
                <w:szCs w:val="20"/>
              </w:rPr>
            </w:pPr>
            <w:r w:rsidRPr="007751A6">
              <w:rPr>
                <w:rFonts w:ascii="Times New Roman" w:hAnsi="Times New Roman"/>
                <w:sz w:val="20"/>
                <w:szCs w:val="20"/>
              </w:rPr>
              <w:t>NON_RES</w:t>
            </w:r>
          </w:p>
        </w:tc>
      </w:tr>
      <w:tr w:rsidR="00DD22A4" w:rsidRPr="00DD22A4" w:rsidTr="009C59BE">
        <w:tc>
          <w:tcPr>
            <w:tcW w:w="1686" w:type="pct"/>
          </w:tcPr>
          <w:p w:rsidR="00DD22A4" w:rsidRPr="00DD22A4" w:rsidRDefault="00837F60" w:rsidP="009C59BE">
            <w:pPr>
              <w:rPr>
                <w:rFonts w:ascii="Times New Roman" w:hAnsi="Times New Roman"/>
                <w:sz w:val="20"/>
                <w:szCs w:val="20"/>
              </w:rPr>
            </w:pPr>
            <w:r>
              <w:rPr>
                <w:rFonts w:ascii="Times New Roman" w:hAnsi="Times New Roman"/>
                <w:sz w:val="20"/>
                <w:szCs w:val="20"/>
              </w:rPr>
              <w:t>Commercial</w:t>
            </w:r>
          </w:p>
        </w:tc>
        <w:tc>
          <w:tcPr>
            <w:tcW w:w="1779" w:type="pct"/>
          </w:tcPr>
          <w:p w:rsidR="00DD22A4" w:rsidRPr="00DD22A4" w:rsidRDefault="00837F60" w:rsidP="009C59BE">
            <w:pPr>
              <w:rPr>
                <w:rFonts w:ascii="Times New Roman" w:hAnsi="Times New Roman"/>
                <w:sz w:val="20"/>
                <w:szCs w:val="20"/>
              </w:rPr>
            </w:pPr>
            <w:r w:rsidRPr="00837F60">
              <w:rPr>
                <w:rFonts w:ascii="Times New Roman" w:hAnsi="Times New Roman"/>
                <w:sz w:val="20"/>
                <w:szCs w:val="20"/>
              </w:rPr>
              <w:t>PGE:2 = Commercial Outdoor Lighting</w:t>
            </w:r>
          </w:p>
        </w:tc>
        <w:tc>
          <w:tcPr>
            <w:tcW w:w="1535" w:type="pct"/>
          </w:tcPr>
          <w:p w:rsidR="00DD22A4" w:rsidRPr="00DD22A4" w:rsidRDefault="00837F60" w:rsidP="009C59BE">
            <w:pPr>
              <w:rPr>
                <w:rFonts w:ascii="Times New Roman" w:hAnsi="Times New Roman"/>
                <w:sz w:val="20"/>
                <w:szCs w:val="20"/>
              </w:rPr>
            </w:pPr>
            <w:r>
              <w:rPr>
                <w:rFonts w:ascii="Times New Roman" w:hAnsi="Times New Roman"/>
                <w:sz w:val="20"/>
                <w:szCs w:val="20"/>
              </w:rPr>
              <w:t>COM</w:t>
            </w:r>
          </w:p>
        </w:tc>
      </w:tr>
    </w:tbl>
    <w:p w:rsidR="00DD22A4" w:rsidRDefault="00DD22A4" w:rsidP="00580F3B">
      <w:pPr>
        <w:pStyle w:val="Heading1"/>
        <w:keepNext w:val="0"/>
      </w:pPr>
    </w:p>
    <w:p w:rsidR="00DD22A4" w:rsidRDefault="00DD22A4" w:rsidP="00DD22A4">
      <w:pPr>
        <w:rPr>
          <w:rFonts w:ascii="Arial" w:hAnsi="Arial" w:cs="Arial"/>
          <w:kern w:val="32"/>
          <w:sz w:val="32"/>
          <w:szCs w:val="32"/>
        </w:rPr>
      </w:pPr>
      <w:r>
        <w:br w:type="page"/>
      </w:r>
    </w:p>
    <w:p w:rsidR="00FF1EC7" w:rsidRPr="003F04AE" w:rsidRDefault="00FF1EC7" w:rsidP="00580F3B">
      <w:pPr>
        <w:pStyle w:val="Heading1"/>
        <w:keepNext w:val="0"/>
      </w:pPr>
      <w:bookmarkStart w:id="70" w:name="_Toc436750808"/>
      <w:proofErr w:type="gramStart"/>
      <w:r w:rsidRPr="003F04AE">
        <w:lastRenderedPageBreak/>
        <w:t>Section 4.</w:t>
      </w:r>
      <w:proofErr w:type="gramEnd"/>
      <w:r w:rsidRPr="003F04AE">
        <w:t xml:space="preserve"> Base Case &amp; Measure Costs</w:t>
      </w:r>
      <w:bookmarkEnd w:id="69"/>
      <w:bookmarkEnd w:id="70"/>
    </w:p>
    <w:p w:rsidR="00793116" w:rsidRDefault="00793116" w:rsidP="00793116">
      <w:bookmarkStart w:id="71" w:name="_Toc174189545"/>
      <w:bookmarkStart w:id="72" w:name="_Toc234227873"/>
      <w:bookmarkStart w:id="73" w:name="_Toc237232690"/>
      <w:r>
        <w:t xml:space="preserve">A joint effort was made between SCE and PG&amp;E to update base case and measure costs for DEER 2016 affected measures.  </w:t>
      </w:r>
    </w:p>
    <w:p w:rsidR="00314A21" w:rsidRPr="002F56DD" w:rsidRDefault="00314A21" w:rsidP="00314A21">
      <w:pPr>
        <w:pStyle w:val="Heading2"/>
        <w:keepNext w:val="0"/>
      </w:pPr>
      <w:bookmarkStart w:id="74" w:name="_Toc436750809"/>
      <w:r w:rsidRPr="002F56DD">
        <w:t>4.1 Base Cases Costs</w:t>
      </w:r>
      <w:bookmarkEnd w:id="71"/>
      <w:bookmarkEnd w:id="72"/>
      <w:bookmarkEnd w:id="73"/>
      <w:bookmarkEnd w:id="74"/>
    </w:p>
    <w:p w:rsidR="00314A21" w:rsidRPr="002F56DD" w:rsidRDefault="00793116" w:rsidP="00314A21">
      <w:r w:rsidRPr="000D6B61">
        <w:t>The technique of web scraping (aka web harvesting, web crawling, web data extraction) was used to gather pricing information from the Home Depot website for base case costs.  The methodology used for measure costs applies to base case costs.  See Section 4.2 for the methodology.</w:t>
      </w:r>
      <w:r>
        <w:t xml:space="preserve">  The base case costs are reduced by 30% as suggested by the Navigant LED Study</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4</w:t>
      </w:r>
      <w:r w:rsidRPr="00334147">
        <w:rPr>
          <w:vertAlign w:val="superscript"/>
        </w:rPr>
        <w:fldChar w:fldCharType="end"/>
      </w:r>
      <w:r>
        <w:t>.  The 30% reduction factor is “to account for the difference between online and typical purchase price” (page 1-3).</w:t>
      </w:r>
    </w:p>
    <w:p w:rsidR="00314A21" w:rsidRPr="002F56DD" w:rsidRDefault="00314A21" w:rsidP="00314A21">
      <w:pPr>
        <w:pStyle w:val="Heading2"/>
        <w:keepNext w:val="0"/>
      </w:pPr>
      <w:bookmarkStart w:id="75" w:name="_Toc234227874"/>
      <w:bookmarkStart w:id="76" w:name="_Toc237232691"/>
      <w:bookmarkStart w:id="77" w:name="_Toc436750810"/>
      <w:r w:rsidRPr="002F56DD">
        <w:t>4.2 Measure Costs</w:t>
      </w:r>
      <w:bookmarkEnd w:id="75"/>
      <w:bookmarkEnd w:id="76"/>
      <w:bookmarkEnd w:id="77"/>
    </w:p>
    <w:p w:rsidR="00793116" w:rsidRDefault="00793116" w:rsidP="00793116">
      <w:bookmarkStart w:id="78" w:name="_Toc234227875"/>
      <w:bookmarkStart w:id="79" w:name="_Toc237232692"/>
      <w:r>
        <w:t>The same technique of web scraping was used to gather pricing information from the Home Depot website for measure case costs.  First, a</w:t>
      </w:r>
      <w:r w:rsidRPr="00353128">
        <w:t xml:space="preserve"> small sample of products </w:t>
      </w:r>
      <w:r>
        <w:t>was</w:t>
      </w:r>
      <w:r w:rsidRPr="00353128">
        <w:t xml:space="preserve"> examined between different</w:t>
      </w:r>
      <w:r>
        <w:t xml:space="preserve"> online</w:t>
      </w:r>
      <w:r w:rsidRPr="00353128">
        <w:t xml:space="preserve"> retailers to determine the need to include items from </w:t>
      </w:r>
      <w:r>
        <w:t>various</w:t>
      </w:r>
      <w:r w:rsidRPr="00353128">
        <w:t xml:space="preserve"> retailers and the discrepancy between pricing. </w:t>
      </w:r>
      <w:r>
        <w:t xml:space="preserve"> Please refer to the Competitive Pricing tab in the cost spreadsheet.  Due to the competitive pricing of the same fixture from different retailers, only Home Depot data was examined in detail.  </w:t>
      </w:r>
    </w:p>
    <w:p w:rsidR="00793116" w:rsidRDefault="00793116" w:rsidP="00793116"/>
    <w:p w:rsidR="00793116" w:rsidRDefault="00793116" w:rsidP="00793116">
      <w: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rsidR="00793116" w:rsidRDefault="00793116" w:rsidP="00793116"/>
    <w:p w:rsidR="00793116" w:rsidRDefault="00793116" w:rsidP="00793116">
      <w:r>
        <w:t>Item descriptions were also viewed to understand the reasoning of such high costs.  It was almost always found that items with high costs were associated with architectural features and/or 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0D6B61">
        <w:rPr>
          <w:vertAlign w:val="superscript"/>
        </w:rPr>
        <w:t>th</w:t>
      </w:r>
      <w:r>
        <w:t xml:space="preserve"> percentile for the median price.</w:t>
      </w:r>
      <w:bookmarkStart w:id="80" w:name="_Ref435694665"/>
      <w:r>
        <w:rPr>
          <w:rStyle w:val="EndnoteReference"/>
        </w:rPr>
        <w:endnoteReference w:id="4"/>
      </w:r>
      <w:bookmarkEnd w:id="80"/>
    </w:p>
    <w:p w:rsidR="00793116" w:rsidRDefault="00793116" w:rsidP="00793116"/>
    <w:p w:rsidR="00793116" w:rsidRDefault="00793116" w:rsidP="00793116">
      <w: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rsidR="00793116" w:rsidRDefault="00793116" w:rsidP="00793116"/>
    <w:p w:rsidR="00793116" w:rsidRDefault="00793116" w:rsidP="00793116">
      <w:r w:rsidRPr="001A3FAA">
        <w:t>For work paper purposes, the cost</w:t>
      </w:r>
      <w:r>
        <w:t>s</w:t>
      </w:r>
      <w:r w:rsidRPr="001A3FAA">
        <w:t xml:space="preserve"> </w:t>
      </w:r>
      <w:r>
        <w:t xml:space="preserve">are </w:t>
      </w:r>
      <w:r w:rsidRPr="001A3FAA">
        <w:t xml:space="preserve">an equal representation of the medium and low cost categories.  Therefore, the best representative association is the average of the </w:t>
      </w:r>
      <w:proofErr w:type="spellStart"/>
      <w:r w:rsidRPr="001A3FAA">
        <w:t>trendline</w:t>
      </w:r>
      <w:proofErr w:type="spellEnd"/>
      <w:r w:rsidRPr="001A3FAA">
        <w:t xml:space="preserve"> for medium cost and the </w:t>
      </w:r>
      <w:proofErr w:type="spellStart"/>
      <w:r w:rsidRPr="001A3FAA">
        <w:t>trendline</w:t>
      </w:r>
      <w:proofErr w:type="spellEnd"/>
      <w:r w:rsidRPr="001A3FAA">
        <w:t xml:space="preserve"> of the low cost.</w:t>
      </w:r>
      <w:r w:rsidRPr="00AF4528">
        <w:t xml:space="preserve"> </w:t>
      </w:r>
      <w:r>
        <w:t xml:space="preserve"> </w:t>
      </w:r>
      <w:r w:rsidRPr="001A3FAA">
        <w:t xml:space="preserve">This process is not the same as </w:t>
      </w:r>
      <w:r>
        <w:t xml:space="preserve">a </w:t>
      </w:r>
      <w:r w:rsidRPr="001A3FAA">
        <w:t>linear regression determined from the low and medium cost items combined.  Due to the quantity in the data sampling, the items associated with the low or medium cost would influence the linear regression.  For this reason, the best representative cost comes from the average of the linear regression from the medium cost and the linear regression from the cost.  This is how cost is propagated for all the technology categories.</w:t>
      </w:r>
    </w:p>
    <w:p w:rsidR="00793116" w:rsidRPr="001A3FAA" w:rsidRDefault="00793116" w:rsidP="00793116">
      <w:pPr>
        <w:pStyle w:val="NoSpacing"/>
        <w:rPr>
          <w:rFonts w:ascii="Times New Roman" w:hAnsi="Times New Roman" w:cs="Times New Roman"/>
        </w:rPr>
      </w:pPr>
    </w:p>
    <w:p w:rsidR="00793116" w:rsidRPr="001A3FAA" w:rsidRDefault="00793116" w:rsidP="00793116">
      <w:r>
        <w:t>As with base case costs, the measure costs are also reduced by 30%</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4</w:t>
      </w:r>
      <w:r w:rsidRPr="00334147">
        <w:rPr>
          <w:vertAlign w:val="superscript"/>
        </w:rPr>
        <w:fldChar w:fldCharType="end"/>
      </w:r>
      <w:r>
        <w:t xml:space="preserve"> to account for the bulk wholesale pricing discrepancy.</w:t>
      </w:r>
    </w:p>
    <w:p w:rsidR="00314A21" w:rsidRPr="00DD22A4" w:rsidRDefault="00314A21" w:rsidP="00314A21">
      <w:pPr>
        <w:pStyle w:val="Heading2"/>
        <w:keepNext w:val="0"/>
        <w:rPr>
          <w:highlight w:val="yellow"/>
        </w:rPr>
      </w:pPr>
      <w:bookmarkStart w:id="81" w:name="_Toc436750811"/>
      <w:r w:rsidRPr="00DF65F8">
        <w:t>4.3 Incremental &amp; Full Measure Costs</w:t>
      </w:r>
      <w:bookmarkEnd w:id="78"/>
      <w:bookmarkEnd w:id="79"/>
      <w:bookmarkEnd w:id="81"/>
    </w:p>
    <w:p w:rsidR="00793116" w:rsidRPr="001A3FAA" w:rsidRDefault="00793116" w:rsidP="00793116">
      <w:pPr>
        <w:rPr>
          <w:b/>
        </w:rPr>
      </w:pPr>
      <w:r>
        <w:t>The incremental cost for CFL fixtures is the difference between the base case costs and the measure costs.  Please refer to the cost calculation spreadsheet for detailed incremental or full cost information.</w:t>
      </w:r>
    </w:p>
    <w:p w:rsidR="00FF1EC7" w:rsidRDefault="00FF1EC7" w:rsidP="00580F3B"/>
    <w:p w:rsidR="00FF1EC7" w:rsidRPr="004F6817" w:rsidRDefault="003D4D49" w:rsidP="00A2423C">
      <w:pPr>
        <w:pStyle w:val="Heading1"/>
      </w:pPr>
      <w:r>
        <w:br w:type="page"/>
      </w:r>
    </w:p>
    <w:p w:rsidR="00FF1EC7" w:rsidRPr="004F6817" w:rsidRDefault="00FF1EC7" w:rsidP="00580F3B">
      <w:pPr>
        <w:pStyle w:val="Heading1"/>
        <w:rPr>
          <w:sz w:val="24"/>
          <w:szCs w:val="24"/>
        </w:rPr>
        <w:sectPr w:rsidR="00FF1EC7" w:rsidRPr="004F6817" w:rsidSect="00DF688E">
          <w:endnotePr>
            <w:numFmt w:val="decimal"/>
          </w:endnotePr>
          <w:pgSz w:w="12240" w:h="15840"/>
          <w:pgMar w:top="1440" w:right="1440" w:bottom="1440" w:left="1440" w:header="720" w:footer="720" w:gutter="0"/>
          <w:pgNumType w:chapStyle="1"/>
          <w:cols w:space="720"/>
          <w:docGrid w:linePitch="360"/>
        </w:sectPr>
      </w:pPr>
    </w:p>
    <w:p w:rsidR="00FF1EC7" w:rsidRDefault="00FF1EC7" w:rsidP="00580F3B">
      <w:pPr>
        <w:pStyle w:val="Heading1"/>
        <w:rPr>
          <w:color w:val="FF0000"/>
        </w:rPr>
      </w:pPr>
      <w:bookmarkStart w:id="82" w:name="_Toc436750812"/>
      <w:r>
        <w:lastRenderedPageBreak/>
        <w:t>References</w:t>
      </w:r>
      <w:bookmarkEnd w:id="82"/>
      <w:r>
        <w:t xml:space="preserve"> </w:t>
      </w:r>
    </w:p>
    <w:sectPr w:rsidR="00FF1EC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2A1" w:rsidRDefault="002B52A1">
      <w:r>
        <w:separator/>
      </w:r>
    </w:p>
  </w:endnote>
  <w:endnote w:type="continuationSeparator" w:id="0">
    <w:p w:rsidR="002B52A1" w:rsidRDefault="002B52A1">
      <w:r>
        <w:continuationSeparator/>
      </w:r>
    </w:p>
  </w:endnote>
  <w:endnote w:id="1">
    <w:p w:rsidR="002B52A1" w:rsidRPr="00885AB1" w:rsidRDefault="002B52A1" w:rsidP="00697230">
      <w:pPr>
        <w:pStyle w:val="EndnoteText"/>
        <w:ind w:left="180" w:hanging="180"/>
        <w:rPr>
          <w:i/>
        </w:rPr>
      </w:pPr>
      <w:r w:rsidRPr="00885AB1">
        <w:rPr>
          <w:rStyle w:val="EndnoteReference"/>
        </w:rPr>
        <w:endnoteRef/>
      </w:r>
      <w:r w:rsidRPr="00885AB1">
        <w:t xml:space="preserve"> The DEER Measure Cost Data Users Guide found on </w:t>
      </w:r>
      <w:hyperlink r:id="rId1" w:history="1">
        <w:r w:rsidRPr="00885AB1">
          <w:rPr>
            <w:rStyle w:val="Hyperlink"/>
          </w:rPr>
          <w:t>www.deeresources.com</w:t>
        </w:r>
      </w:hyperlink>
      <w:r w:rsidRPr="00885AB1">
        <w:t xml:space="preserve"> under </w:t>
      </w:r>
      <w:r w:rsidRPr="00885AB1">
        <w:rPr>
          <w:i/>
        </w:rPr>
        <w:t>DEER2011 Database Format</w:t>
      </w:r>
      <w:r w:rsidRPr="00885AB1">
        <w:t xml:space="preserve"> hyperlink, </w:t>
      </w:r>
      <w:r w:rsidRPr="00885AB1">
        <w:rPr>
          <w:rStyle w:val="breadcrumbs"/>
          <w:color w:val="333333"/>
          <w:lang w:val="en-GB"/>
        </w:rPr>
        <w:t>DEER2011 for 13-14</w:t>
      </w:r>
      <w:r w:rsidRPr="00885AB1">
        <w:rPr>
          <w:color w:val="333333"/>
          <w:lang w:val="en-GB"/>
        </w:rPr>
        <w:t>,</w:t>
      </w:r>
      <w:r w:rsidRPr="00885AB1">
        <w:t xml:space="preserve"> spreadsheet </w:t>
      </w:r>
      <w:r w:rsidRPr="00885AB1">
        <w:rPr>
          <w:i/>
        </w:rPr>
        <w:t>SPTdata_format-V0.97.xls.</w:t>
      </w:r>
    </w:p>
    <w:p w:rsidR="002B52A1" w:rsidRPr="00885AB1" w:rsidRDefault="002B52A1" w:rsidP="00697230">
      <w:pPr>
        <w:pStyle w:val="EndnoteText"/>
        <w:ind w:left="180" w:hanging="180"/>
      </w:pPr>
    </w:p>
  </w:endnote>
  <w:endnote w:id="2">
    <w:p w:rsidR="002B52A1" w:rsidRDefault="002B52A1" w:rsidP="009C59BE">
      <w:pPr>
        <w:pStyle w:val="EndnoteText"/>
      </w:pPr>
      <w:r>
        <w:rPr>
          <w:rStyle w:val="EndnoteReference"/>
        </w:rPr>
        <w:endnoteRef/>
      </w:r>
      <w:r>
        <w:t xml:space="preserve"> CPUC Energy Division --  CPUC Energy Division – Lighting Disposition  2013-2014_LightingRetrofit_Disposition-14December2013.Docx</w:t>
      </w:r>
    </w:p>
    <w:p w:rsidR="002B52A1" w:rsidRDefault="002B52A1" w:rsidP="009C59BE">
      <w:pPr>
        <w:pStyle w:val="EndnoteText"/>
      </w:pPr>
      <w:r>
        <w:t>DEER 2012 Lighting 13-14 dispositions 2013-2014_LightingRetrofit_Disposition-14December2013.xlsx  {from Dec. 2013]    [from December 2013]</w:t>
      </w:r>
    </w:p>
    <w:p w:rsidR="002B52A1" w:rsidRDefault="002B52A1" w:rsidP="009C59BE">
      <w:pPr>
        <w:pStyle w:val="EndnoteText"/>
      </w:pPr>
    </w:p>
  </w:endnote>
  <w:endnote w:id="3">
    <w:p w:rsidR="002B52A1" w:rsidRPr="00885AB1" w:rsidRDefault="002B52A1" w:rsidP="006B5B39">
      <w:pPr>
        <w:rPr>
          <w:sz w:val="20"/>
          <w:szCs w:val="20"/>
        </w:rPr>
      </w:pPr>
      <w:r w:rsidRPr="00885AB1">
        <w:rPr>
          <w:rStyle w:val="EndnoteReference"/>
          <w:sz w:val="20"/>
          <w:szCs w:val="20"/>
        </w:rPr>
        <w:endnoteRef/>
      </w:r>
      <w:r w:rsidRPr="00885AB1">
        <w:rPr>
          <w:sz w:val="20"/>
          <w:szCs w:val="20"/>
        </w:rPr>
        <w:t xml:space="preserve"> </w:t>
      </w:r>
      <w:proofErr w:type="spellStart"/>
      <w:r w:rsidRPr="00885AB1">
        <w:rPr>
          <w:sz w:val="20"/>
          <w:szCs w:val="20"/>
        </w:rPr>
        <w:t>Heschong</w:t>
      </w:r>
      <w:proofErr w:type="spellEnd"/>
      <w:r w:rsidRPr="00885AB1">
        <w:rPr>
          <w:sz w:val="20"/>
          <w:szCs w:val="20"/>
        </w:rPr>
        <w:t xml:space="preserve"> </w:t>
      </w:r>
      <w:proofErr w:type="spellStart"/>
      <w:r w:rsidRPr="00885AB1">
        <w:rPr>
          <w:sz w:val="20"/>
          <w:szCs w:val="20"/>
        </w:rPr>
        <w:t>Mahone</w:t>
      </w:r>
      <w:proofErr w:type="spellEnd"/>
      <w:r w:rsidRPr="00885AB1">
        <w:rPr>
          <w:sz w:val="20"/>
          <w:szCs w:val="20"/>
        </w:rPr>
        <w:t xml:space="preserve"> Group, </w:t>
      </w:r>
      <w:r w:rsidRPr="00885AB1">
        <w:rPr>
          <w:i/>
          <w:sz w:val="20"/>
          <w:szCs w:val="20"/>
        </w:rPr>
        <w:t>CEC Lighting Efficiency Technology Report – Volume II Appendix</w:t>
      </w:r>
      <w:proofErr w:type="gramStart"/>
      <w:r w:rsidRPr="00885AB1">
        <w:rPr>
          <w:i/>
          <w:sz w:val="20"/>
          <w:szCs w:val="20"/>
        </w:rPr>
        <w:t>.</w:t>
      </w:r>
      <w:r w:rsidRPr="00885AB1">
        <w:rPr>
          <w:sz w:val="20"/>
          <w:szCs w:val="20"/>
        </w:rPr>
        <w:t>.</w:t>
      </w:r>
      <w:proofErr w:type="gramEnd"/>
      <w:r w:rsidRPr="00885AB1">
        <w:rPr>
          <w:sz w:val="20"/>
          <w:szCs w:val="20"/>
        </w:rPr>
        <w:t xml:space="preserve"> September 1999.  Accessed at: </w:t>
      </w:r>
      <w:hyperlink r:id="rId2" w:history="1">
        <w:r w:rsidRPr="00885AB1">
          <w:rPr>
            <w:rStyle w:val="Hyperlink"/>
            <w:sz w:val="20"/>
            <w:szCs w:val="20"/>
          </w:rPr>
          <w:t>http://www.calmac.org/warn_dload.asp?e=0&amp;id=2071</w:t>
        </w:r>
      </w:hyperlink>
    </w:p>
  </w:endnote>
  <w:endnote w:id="4">
    <w:p w:rsidR="002B52A1" w:rsidRDefault="002B52A1" w:rsidP="00793116">
      <w:pPr>
        <w:pStyle w:val="EndnoteText"/>
        <w:rPr>
          <w:sz w:val="24"/>
        </w:rPr>
      </w:pPr>
    </w:p>
    <w:p w:rsidR="002B52A1" w:rsidRDefault="002B52A1" w:rsidP="00793116">
      <w:pPr>
        <w:pStyle w:val="EndnoteText"/>
      </w:pPr>
      <w:r w:rsidRPr="00793116">
        <w:rPr>
          <w:rStyle w:val="EndnoteReference"/>
        </w:rPr>
        <w:endnoteRef/>
      </w:r>
      <w:r w:rsidRPr="00793116">
        <w:t xml:space="preserve"> California LED </w:t>
      </w:r>
      <w:proofErr w:type="spellStart"/>
      <w:r w:rsidRPr="00793116">
        <w:t>Workpaper</w:t>
      </w:r>
      <w:proofErr w:type="spellEnd"/>
      <w:r w:rsidRPr="00793116">
        <w:t xml:space="preserve"> Update Study.  </w:t>
      </w:r>
      <w:proofErr w:type="gramStart"/>
      <w:r w:rsidRPr="00793116">
        <w:t>Navigant Consulting.</w:t>
      </w:r>
      <w:proofErr w:type="gramEnd"/>
      <w:r w:rsidRPr="00793116">
        <w:t xml:space="preserve">  August 28, 2015.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52A1" w:rsidRDefault="002B52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2B52A1" w:rsidRDefault="002B52A1">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2B52A1" w:rsidRDefault="002B52A1">
    <w:pPr>
      <w:pStyle w:val="Footer"/>
      <w:rPr>
        <w:b/>
        <w:sz w:val="20"/>
        <w:szCs w:val="20"/>
      </w:rPr>
    </w:pPr>
    <w:r>
      <w:rPr>
        <w:b/>
        <w:sz w:val="20"/>
        <w:szCs w:val="20"/>
      </w:rPr>
      <w:t>Pacific Gas &amp; Electric Company</w:t>
    </w:r>
  </w:p>
  <w:p w:rsidR="002B52A1" w:rsidRDefault="002B52A1">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PGECOLTG109 R6 CF Ext Fixture.docx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rsidP="00DD22A4">
    <w:pPr>
      <w:pStyle w:val="Footer"/>
      <w:jc w:val="right"/>
    </w:pPr>
    <w:r>
      <w:t>1/1/2016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52A1" w:rsidRDefault="002B52A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7751A6">
      <w:rPr>
        <w:rStyle w:val="PageNumber"/>
        <w:b/>
        <w:noProof/>
        <w:sz w:val="20"/>
        <w:szCs w:val="20"/>
      </w:rPr>
      <w:t>7</w:t>
    </w:r>
    <w:r>
      <w:rPr>
        <w:rStyle w:val="PageNumber"/>
        <w:b/>
        <w:sz w:val="20"/>
        <w:szCs w:val="20"/>
      </w:rPr>
      <w:fldChar w:fldCharType="end"/>
    </w:r>
  </w:p>
  <w:p w:rsidR="002B52A1" w:rsidRPr="00A633D7" w:rsidRDefault="002B52A1">
    <w:pPr>
      <w:pStyle w:val="Footer"/>
      <w:pBdr>
        <w:top w:val="single" w:sz="4" w:space="1" w:color="auto"/>
      </w:pBdr>
      <w:tabs>
        <w:tab w:val="clear" w:pos="8640"/>
        <w:tab w:val="right" w:pos="9360"/>
      </w:tabs>
      <w:rPr>
        <w:b/>
        <w:sz w:val="20"/>
        <w:szCs w:val="20"/>
      </w:rPr>
    </w:pPr>
    <w:r w:rsidRPr="00A633D7">
      <w:rPr>
        <w:b/>
        <w:sz w:val="20"/>
        <w:szCs w:val="20"/>
      </w:rPr>
      <w:t xml:space="preserve">Work Paper PGECOLTG109 Revision </w:t>
    </w:r>
    <w:r>
      <w:rPr>
        <w:b/>
        <w:sz w:val="20"/>
        <w:szCs w:val="20"/>
      </w:rPr>
      <w:t>6</w:t>
    </w:r>
    <w:r w:rsidRPr="00A633D7">
      <w:rPr>
        <w:b/>
        <w:sz w:val="20"/>
        <w:szCs w:val="20"/>
      </w:rPr>
      <w:tab/>
    </w:r>
    <w:r w:rsidRPr="00A633D7">
      <w:rPr>
        <w:b/>
        <w:sz w:val="20"/>
        <w:szCs w:val="20"/>
      </w:rPr>
      <w:tab/>
    </w:r>
    <w:r>
      <w:rPr>
        <w:b/>
        <w:sz w:val="20"/>
        <w:szCs w:val="20"/>
      </w:rPr>
      <w:t>1/1/2016</w:t>
    </w:r>
  </w:p>
  <w:p w:rsidR="002B52A1" w:rsidRPr="00A633D7" w:rsidRDefault="002B52A1">
    <w:pPr>
      <w:pStyle w:val="Footer"/>
      <w:rPr>
        <w:b/>
        <w:sz w:val="20"/>
        <w:szCs w:val="20"/>
      </w:rPr>
    </w:pPr>
    <w:r w:rsidRPr="00A633D7">
      <w:rPr>
        <w:b/>
        <w:sz w:val="20"/>
        <w:szCs w:val="20"/>
      </w:rPr>
      <w:t>Pacific Gas &amp; Electric Company</w:t>
    </w:r>
  </w:p>
  <w:p w:rsidR="002B52A1" w:rsidRPr="00A633D7" w:rsidRDefault="002B52A1">
    <w:pPr>
      <w:pStyle w:val="Footer"/>
      <w:rPr>
        <w:b/>
        <w:sz w:val="20"/>
        <w:szCs w:val="20"/>
      </w:rPr>
    </w:pPr>
    <w:r w:rsidRPr="00A633D7">
      <w:rPr>
        <w:b/>
        <w:sz w:val="20"/>
        <w:szCs w:val="20"/>
      </w:rPr>
      <w:fldChar w:fldCharType="begin"/>
    </w:r>
    <w:r w:rsidRPr="00A633D7">
      <w:rPr>
        <w:b/>
        <w:sz w:val="20"/>
        <w:szCs w:val="20"/>
      </w:rPr>
      <w:instrText xml:space="preserve"> FILENAME </w:instrText>
    </w:r>
    <w:r w:rsidRPr="00A633D7">
      <w:rPr>
        <w:b/>
        <w:sz w:val="20"/>
        <w:szCs w:val="20"/>
      </w:rPr>
      <w:fldChar w:fldCharType="separate"/>
    </w:r>
    <w:r>
      <w:rPr>
        <w:b/>
        <w:noProof/>
        <w:sz w:val="20"/>
        <w:szCs w:val="20"/>
      </w:rPr>
      <w:t>PGECOLTG109 R6 CF Ext Fixture.docx</w:t>
    </w:r>
    <w:r w:rsidRPr="00A633D7">
      <w:rPr>
        <w:b/>
        <w:sz w:val="20"/>
        <w:szCs w:val="20"/>
      </w:rPr>
      <w:fldChar w:fldCharType="end"/>
    </w:r>
    <w:r w:rsidRPr="00A633D7">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jc w:val="right"/>
      <w:rPr>
        <w:rFonts w:ascii="Arial" w:hAnsi="Arial" w:cs="Arial"/>
        <w:b/>
        <w:sz w:val="36"/>
        <w:szCs w:val="36"/>
      </w:rPr>
    </w:pPr>
    <w:r>
      <w:rPr>
        <w:rFonts w:ascii="Arial" w:hAnsi="Arial" w:cs="Arial"/>
        <w:b/>
        <w:sz w:val="36"/>
        <w:szCs w:val="36"/>
      </w:rPr>
      <w:t>Date of Last Revision</w:t>
    </w:r>
  </w:p>
  <w:p w:rsidR="002B52A1" w:rsidRDefault="002B52A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52A1" w:rsidRDefault="002B52A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Footer"/>
      <w:jc w:val="right"/>
      <w:rPr>
        <w:rFonts w:ascii="Arial" w:hAnsi="Arial" w:cs="Arial"/>
        <w:b/>
        <w:sz w:val="36"/>
        <w:szCs w:val="36"/>
      </w:rPr>
    </w:pPr>
    <w:r>
      <w:rPr>
        <w:rFonts w:ascii="Arial" w:hAnsi="Arial" w:cs="Arial"/>
        <w:b/>
        <w:sz w:val="36"/>
        <w:szCs w:val="36"/>
      </w:rPr>
      <w:t>Date of Last Revision</w:t>
    </w:r>
  </w:p>
  <w:p w:rsidR="002B52A1" w:rsidRDefault="002B52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2A1" w:rsidRDefault="002B52A1">
      <w:r>
        <w:separator/>
      </w:r>
    </w:p>
  </w:footnote>
  <w:footnote w:type="continuationSeparator" w:id="0">
    <w:p w:rsidR="002B52A1" w:rsidRDefault="002B5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jc w:val="right"/>
    </w:pPr>
  </w:p>
  <w:p w:rsidR="002B52A1" w:rsidRDefault="002B52A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35.05pt;height:174pt;rotation:315;z-index:-25165670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jc w:val="right"/>
    </w:pPr>
  </w:p>
  <w:p w:rsidR="002B52A1" w:rsidRDefault="002B52A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jc w:val="right"/>
    </w:pPr>
  </w:p>
  <w:p w:rsidR="002B52A1" w:rsidRDefault="002B52A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A1" w:rsidRDefault="002B52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80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F233FA"/>
    <w:multiLevelType w:val="hybridMultilevel"/>
    <w:tmpl w:val="6EA08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73"/>
    <w:rsid w:val="00004D35"/>
    <w:rsid w:val="000116F3"/>
    <w:rsid w:val="000172A2"/>
    <w:rsid w:val="00027334"/>
    <w:rsid w:val="00047919"/>
    <w:rsid w:val="000518EE"/>
    <w:rsid w:val="00054F7F"/>
    <w:rsid w:val="00070EE3"/>
    <w:rsid w:val="00082042"/>
    <w:rsid w:val="0008378C"/>
    <w:rsid w:val="000C00D8"/>
    <w:rsid w:val="000C3A7B"/>
    <w:rsid w:val="000D2CEB"/>
    <w:rsid w:val="000F324D"/>
    <w:rsid w:val="000F33A7"/>
    <w:rsid w:val="000F4825"/>
    <w:rsid w:val="000F6638"/>
    <w:rsid w:val="000F6EEC"/>
    <w:rsid w:val="00107AAC"/>
    <w:rsid w:val="001224F6"/>
    <w:rsid w:val="00135874"/>
    <w:rsid w:val="00154761"/>
    <w:rsid w:val="0017448C"/>
    <w:rsid w:val="00177286"/>
    <w:rsid w:val="00183353"/>
    <w:rsid w:val="001E170A"/>
    <w:rsid w:val="0020300C"/>
    <w:rsid w:val="002056AC"/>
    <w:rsid w:val="002612CD"/>
    <w:rsid w:val="00262D9E"/>
    <w:rsid w:val="00265F76"/>
    <w:rsid w:val="002676E9"/>
    <w:rsid w:val="00282CB7"/>
    <w:rsid w:val="002B52A1"/>
    <w:rsid w:val="002C02E8"/>
    <w:rsid w:val="002C51C6"/>
    <w:rsid w:val="002D6DC0"/>
    <w:rsid w:val="002F1A69"/>
    <w:rsid w:val="002F59C5"/>
    <w:rsid w:val="00312D97"/>
    <w:rsid w:val="00314A21"/>
    <w:rsid w:val="00317537"/>
    <w:rsid w:val="003244F5"/>
    <w:rsid w:val="0034782A"/>
    <w:rsid w:val="003622EC"/>
    <w:rsid w:val="00366780"/>
    <w:rsid w:val="003779ED"/>
    <w:rsid w:val="00381DE6"/>
    <w:rsid w:val="00382640"/>
    <w:rsid w:val="00382E88"/>
    <w:rsid w:val="00384457"/>
    <w:rsid w:val="00384B7C"/>
    <w:rsid w:val="0039197B"/>
    <w:rsid w:val="003C576D"/>
    <w:rsid w:val="003D4D49"/>
    <w:rsid w:val="003E22D9"/>
    <w:rsid w:val="003F04AE"/>
    <w:rsid w:val="003F4165"/>
    <w:rsid w:val="003F7A8E"/>
    <w:rsid w:val="00403619"/>
    <w:rsid w:val="00405672"/>
    <w:rsid w:val="00443C0C"/>
    <w:rsid w:val="004448E3"/>
    <w:rsid w:val="00452324"/>
    <w:rsid w:val="00453ABB"/>
    <w:rsid w:val="004641BF"/>
    <w:rsid w:val="00493944"/>
    <w:rsid w:val="004A1722"/>
    <w:rsid w:val="004A3B37"/>
    <w:rsid w:val="004C183A"/>
    <w:rsid w:val="004E00A8"/>
    <w:rsid w:val="004E2334"/>
    <w:rsid w:val="004F6817"/>
    <w:rsid w:val="0050676B"/>
    <w:rsid w:val="005227A2"/>
    <w:rsid w:val="005234BF"/>
    <w:rsid w:val="00525620"/>
    <w:rsid w:val="00540919"/>
    <w:rsid w:val="00551367"/>
    <w:rsid w:val="00580F3B"/>
    <w:rsid w:val="005C4B38"/>
    <w:rsid w:val="00646AA1"/>
    <w:rsid w:val="00695952"/>
    <w:rsid w:val="00697230"/>
    <w:rsid w:val="006B0EC4"/>
    <w:rsid w:val="006B5B39"/>
    <w:rsid w:val="006B771D"/>
    <w:rsid w:val="006D6358"/>
    <w:rsid w:val="006E3527"/>
    <w:rsid w:val="006E576C"/>
    <w:rsid w:val="006F1277"/>
    <w:rsid w:val="006F47AA"/>
    <w:rsid w:val="006F7F51"/>
    <w:rsid w:val="00717E40"/>
    <w:rsid w:val="00721213"/>
    <w:rsid w:val="0073106E"/>
    <w:rsid w:val="00750F74"/>
    <w:rsid w:val="00757055"/>
    <w:rsid w:val="007637BF"/>
    <w:rsid w:val="007712F9"/>
    <w:rsid w:val="007748B5"/>
    <w:rsid w:val="007751A6"/>
    <w:rsid w:val="00784E5B"/>
    <w:rsid w:val="00793116"/>
    <w:rsid w:val="007B7939"/>
    <w:rsid w:val="007C0A10"/>
    <w:rsid w:val="007C6B54"/>
    <w:rsid w:val="007D3A32"/>
    <w:rsid w:val="007D6C4F"/>
    <w:rsid w:val="007D7E9C"/>
    <w:rsid w:val="007E6F93"/>
    <w:rsid w:val="007F28F4"/>
    <w:rsid w:val="008026F9"/>
    <w:rsid w:val="00820C84"/>
    <w:rsid w:val="008315D0"/>
    <w:rsid w:val="00837F60"/>
    <w:rsid w:val="00843286"/>
    <w:rsid w:val="00845319"/>
    <w:rsid w:val="0084548D"/>
    <w:rsid w:val="00845CD8"/>
    <w:rsid w:val="0085089D"/>
    <w:rsid w:val="00852790"/>
    <w:rsid w:val="0088584C"/>
    <w:rsid w:val="00885AB1"/>
    <w:rsid w:val="008A229E"/>
    <w:rsid w:val="008F326A"/>
    <w:rsid w:val="008F5ADD"/>
    <w:rsid w:val="009077F8"/>
    <w:rsid w:val="00910911"/>
    <w:rsid w:val="00912B88"/>
    <w:rsid w:val="00934ED7"/>
    <w:rsid w:val="00940A9A"/>
    <w:rsid w:val="00970B38"/>
    <w:rsid w:val="009754F9"/>
    <w:rsid w:val="009C59BE"/>
    <w:rsid w:val="009D6B08"/>
    <w:rsid w:val="009E2497"/>
    <w:rsid w:val="009E7180"/>
    <w:rsid w:val="009E7B20"/>
    <w:rsid w:val="00A13DED"/>
    <w:rsid w:val="00A1452E"/>
    <w:rsid w:val="00A22604"/>
    <w:rsid w:val="00A2423C"/>
    <w:rsid w:val="00A311DB"/>
    <w:rsid w:val="00A34DBA"/>
    <w:rsid w:val="00A633D7"/>
    <w:rsid w:val="00A73177"/>
    <w:rsid w:val="00A85A45"/>
    <w:rsid w:val="00AA17E2"/>
    <w:rsid w:val="00AA5121"/>
    <w:rsid w:val="00AC7A0F"/>
    <w:rsid w:val="00AE47D8"/>
    <w:rsid w:val="00B10DE6"/>
    <w:rsid w:val="00B462FB"/>
    <w:rsid w:val="00B46E64"/>
    <w:rsid w:val="00B63CAA"/>
    <w:rsid w:val="00B67997"/>
    <w:rsid w:val="00B77C24"/>
    <w:rsid w:val="00B83AF4"/>
    <w:rsid w:val="00BD0E1F"/>
    <w:rsid w:val="00BD4801"/>
    <w:rsid w:val="00C106CC"/>
    <w:rsid w:val="00C27AFE"/>
    <w:rsid w:val="00C36356"/>
    <w:rsid w:val="00C3743F"/>
    <w:rsid w:val="00C435D1"/>
    <w:rsid w:val="00C51A01"/>
    <w:rsid w:val="00C536D9"/>
    <w:rsid w:val="00C64B1B"/>
    <w:rsid w:val="00C937B3"/>
    <w:rsid w:val="00CB184B"/>
    <w:rsid w:val="00CB67A8"/>
    <w:rsid w:val="00CC4402"/>
    <w:rsid w:val="00CD0856"/>
    <w:rsid w:val="00CF62CB"/>
    <w:rsid w:val="00CF7A60"/>
    <w:rsid w:val="00D1488D"/>
    <w:rsid w:val="00D2730B"/>
    <w:rsid w:val="00D3686C"/>
    <w:rsid w:val="00D7750A"/>
    <w:rsid w:val="00DB2FE9"/>
    <w:rsid w:val="00DB53D1"/>
    <w:rsid w:val="00DB659D"/>
    <w:rsid w:val="00DD22A4"/>
    <w:rsid w:val="00DD343F"/>
    <w:rsid w:val="00DF65F8"/>
    <w:rsid w:val="00DF688E"/>
    <w:rsid w:val="00E44AB7"/>
    <w:rsid w:val="00E50927"/>
    <w:rsid w:val="00E54373"/>
    <w:rsid w:val="00E61C68"/>
    <w:rsid w:val="00E8444B"/>
    <w:rsid w:val="00E94D5E"/>
    <w:rsid w:val="00EB752D"/>
    <w:rsid w:val="00EE4932"/>
    <w:rsid w:val="00EF45E7"/>
    <w:rsid w:val="00EF5123"/>
    <w:rsid w:val="00EF7673"/>
    <w:rsid w:val="00F14322"/>
    <w:rsid w:val="00F26E52"/>
    <w:rsid w:val="00F2781C"/>
    <w:rsid w:val="00F75566"/>
    <w:rsid w:val="00F75E68"/>
    <w:rsid w:val="00F91420"/>
    <w:rsid w:val="00FD7ECC"/>
    <w:rsid w:val="00FE6A10"/>
    <w:rsid w:val="00FF1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7F60"/>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F6817"/>
    <w:pPr>
      <w:tabs>
        <w:tab w:val="right" w:leader="dot" w:pos="9350"/>
      </w:tabs>
    </w:pPr>
    <w:rPr>
      <w:rFonts w:ascii="Arial" w:hAnsi="Arial" w:cs="Arial"/>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uiPriority w:val="99"/>
    <w:semiHidden/>
    <w:pPr>
      <w:ind w:left="240" w:hanging="240"/>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EndnoteTextChar">
    <w:name w:val="Endnote Text Char"/>
    <w:link w:val="EndnoteText"/>
    <w:rsid w:val="00697230"/>
  </w:style>
  <w:style w:type="character" w:customStyle="1" w:styleId="CaptionChar">
    <w:name w:val="Caption Char"/>
    <w:link w:val="Caption"/>
    <w:locked/>
    <w:rsid w:val="00697230"/>
    <w:rPr>
      <w:b/>
      <w:bCs/>
    </w:rPr>
  </w:style>
  <w:style w:type="character" w:customStyle="1" w:styleId="breadcrumbs">
    <w:name w:val="breadcrumbs"/>
    <w:rsid w:val="00697230"/>
  </w:style>
  <w:style w:type="table" w:customStyle="1" w:styleId="TableGrid1">
    <w:name w:val="Table Grid1"/>
    <w:basedOn w:val="TableNormal"/>
    <w:next w:val="TableGrid"/>
    <w:rsid w:val="00C536D9"/>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53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C536D9"/>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C536D9"/>
    <w:rPr>
      <w:rFonts w:ascii="Trebuchet MS" w:hAnsi="Trebuchet MS"/>
      <w:i/>
      <w:color w:val="FF0000"/>
      <w:sz w:val="22"/>
      <w:szCs w:val="24"/>
    </w:rPr>
  </w:style>
  <w:style w:type="paragraph" w:styleId="NoSpacing">
    <w:name w:val="No Spacing"/>
    <w:uiPriority w:val="1"/>
    <w:qFormat/>
    <w:rsid w:val="00C536D9"/>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7F60"/>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F6817"/>
    <w:pPr>
      <w:tabs>
        <w:tab w:val="right" w:leader="dot" w:pos="9350"/>
      </w:tabs>
    </w:pPr>
    <w:rPr>
      <w:rFonts w:ascii="Arial" w:hAnsi="Arial" w:cs="Arial"/>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uiPriority w:val="99"/>
    <w:semiHidden/>
    <w:pPr>
      <w:ind w:left="240" w:hanging="240"/>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EndnoteTextChar">
    <w:name w:val="Endnote Text Char"/>
    <w:link w:val="EndnoteText"/>
    <w:rsid w:val="00697230"/>
  </w:style>
  <w:style w:type="character" w:customStyle="1" w:styleId="CaptionChar">
    <w:name w:val="Caption Char"/>
    <w:link w:val="Caption"/>
    <w:locked/>
    <w:rsid w:val="00697230"/>
    <w:rPr>
      <w:b/>
      <w:bCs/>
    </w:rPr>
  </w:style>
  <w:style w:type="character" w:customStyle="1" w:styleId="breadcrumbs">
    <w:name w:val="breadcrumbs"/>
    <w:rsid w:val="00697230"/>
  </w:style>
  <w:style w:type="table" w:customStyle="1" w:styleId="TableGrid1">
    <w:name w:val="Table Grid1"/>
    <w:basedOn w:val="TableNormal"/>
    <w:next w:val="TableGrid"/>
    <w:rsid w:val="00C536D9"/>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53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C536D9"/>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C536D9"/>
    <w:rPr>
      <w:rFonts w:ascii="Trebuchet MS" w:hAnsi="Trebuchet MS"/>
      <w:i/>
      <w:color w:val="FF0000"/>
      <w:sz w:val="22"/>
      <w:szCs w:val="24"/>
    </w:rPr>
  </w:style>
  <w:style w:type="paragraph" w:styleId="NoSpacing">
    <w:name w:val="No Spacing"/>
    <w:uiPriority w:val="1"/>
    <w:qFormat/>
    <w:rsid w:val="00C536D9"/>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5120">
      <w:bodyDiv w:val="1"/>
      <w:marLeft w:val="0"/>
      <w:marRight w:val="0"/>
      <w:marTop w:val="0"/>
      <w:marBottom w:val="0"/>
      <w:divBdr>
        <w:top w:val="none" w:sz="0" w:space="0" w:color="auto"/>
        <w:left w:val="none" w:sz="0" w:space="0" w:color="auto"/>
        <w:bottom w:val="none" w:sz="0" w:space="0" w:color="auto"/>
        <w:right w:val="none" w:sz="0" w:space="0" w:color="auto"/>
      </w:divBdr>
    </w:div>
    <w:div w:id="252511905">
      <w:bodyDiv w:val="1"/>
      <w:marLeft w:val="0"/>
      <w:marRight w:val="0"/>
      <w:marTop w:val="0"/>
      <w:marBottom w:val="0"/>
      <w:divBdr>
        <w:top w:val="none" w:sz="0" w:space="0" w:color="auto"/>
        <w:left w:val="none" w:sz="0" w:space="0" w:color="auto"/>
        <w:bottom w:val="none" w:sz="0" w:space="0" w:color="auto"/>
        <w:right w:val="none" w:sz="0" w:space="0" w:color="auto"/>
      </w:divBdr>
    </w:div>
    <w:div w:id="838424668">
      <w:bodyDiv w:val="1"/>
      <w:marLeft w:val="0"/>
      <w:marRight w:val="0"/>
      <w:marTop w:val="0"/>
      <w:marBottom w:val="0"/>
      <w:divBdr>
        <w:top w:val="none" w:sz="0" w:space="0" w:color="auto"/>
        <w:left w:val="none" w:sz="0" w:space="0" w:color="auto"/>
        <w:bottom w:val="none" w:sz="0" w:space="0" w:color="auto"/>
        <w:right w:val="none" w:sz="0" w:space="0" w:color="auto"/>
      </w:divBdr>
    </w:div>
    <w:div w:id="134219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calmac.org/warn_dload.asp?e=0&amp;id=2071"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B88AB-72A6-4A45-9DF7-166A18FB65B2}"/>
</file>

<file path=customXml/itemProps2.xml><?xml version="1.0" encoding="utf-8"?>
<ds:datastoreItem xmlns:ds="http://schemas.openxmlformats.org/officeDocument/2006/customXml" ds:itemID="{4C8361DF-4D0B-48C4-877F-7D83C5ACD806}"/>
</file>

<file path=customXml/itemProps3.xml><?xml version="1.0" encoding="utf-8"?>
<ds:datastoreItem xmlns:ds="http://schemas.openxmlformats.org/officeDocument/2006/customXml" ds:itemID="{FED6106C-0304-427E-BB81-DAEEC75F212C}"/>
</file>

<file path=customXml/itemProps4.xml><?xml version="1.0" encoding="utf-8"?>
<ds:datastoreItem xmlns:ds="http://schemas.openxmlformats.org/officeDocument/2006/customXml" ds:itemID="{0FECD4E3-3E25-4961-AE4C-033CDADA394D}"/>
</file>

<file path=docProps/app.xml><?xml version="1.0" encoding="utf-8"?>
<Properties xmlns="http://schemas.openxmlformats.org/officeDocument/2006/extended-properties" xmlns:vt="http://schemas.openxmlformats.org/officeDocument/2006/docPropsVTypes">
  <Template>SCE Work Paper Template - Final.dot</Template>
  <TotalTime>1277</TotalTime>
  <Pages>12</Pages>
  <Words>2713</Words>
  <Characters>17109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19783</CharactersWithSpaces>
  <SharedDoc>false</SharedDoc>
  <HLinks>
    <vt:vector size="210" baseType="variant">
      <vt:variant>
        <vt:i4>1245233</vt:i4>
      </vt:variant>
      <vt:variant>
        <vt:i4>173</vt:i4>
      </vt:variant>
      <vt:variant>
        <vt:i4>0</vt:i4>
      </vt:variant>
      <vt:variant>
        <vt:i4>5</vt:i4>
      </vt:variant>
      <vt:variant>
        <vt:lpwstr/>
      </vt:variant>
      <vt:variant>
        <vt:lpwstr>_Toc333926389</vt:lpwstr>
      </vt:variant>
      <vt:variant>
        <vt:i4>1245233</vt:i4>
      </vt:variant>
      <vt:variant>
        <vt:i4>167</vt:i4>
      </vt:variant>
      <vt:variant>
        <vt:i4>0</vt:i4>
      </vt:variant>
      <vt:variant>
        <vt:i4>5</vt:i4>
      </vt:variant>
      <vt:variant>
        <vt:lpwstr/>
      </vt:variant>
      <vt:variant>
        <vt:lpwstr>_Toc333926388</vt:lpwstr>
      </vt:variant>
      <vt:variant>
        <vt:i4>1245233</vt:i4>
      </vt:variant>
      <vt:variant>
        <vt:i4>158</vt:i4>
      </vt:variant>
      <vt:variant>
        <vt:i4>0</vt:i4>
      </vt:variant>
      <vt:variant>
        <vt:i4>5</vt:i4>
      </vt:variant>
      <vt:variant>
        <vt:lpwstr/>
      </vt:variant>
      <vt:variant>
        <vt:lpwstr>_Toc333926387</vt:lpwstr>
      </vt:variant>
      <vt:variant>
        <vt:i4>1245233</vt:i4>
      </vt:variant>
      <vt:variant>
        <vt:i4>152</vt:i4>
      </vt:variant>
      <vt:variant>
        <vt:i4>0</vt:i4>
      </vt:variant>
      <vt:variant>
        <vt:i4>5</vt:i4>
      </vt:variant>
      <vt:variant>
        <vt:lpwstr/>
      </vt:variant>
      <vt:variant>
        <vt:lpwstr>_Toc333926386</vt:lpwstr>
      </vt:variant>
      <vt:variant>
        <vt:i4>1245233</vt:i4>
      </vt:variant>
      <vt:variant>
        <vt:i4>146</vt:i4>
      </vt:variant>
      <vt:variant>
        <vt:i4>0</vt:i4>
      </vt:variant>
      <vt:variant>
        <vt:i4>5</vt:i4>
      </vt:variant>
      <vt:variant>
        <vt:lpwstr/>
      </vt:variant>
      <vt:variant>
        <vt:lpwstr>_Toc333926385</vt:lpwstr>
      </vt:variant>
      <vt:variant>
        <vt:i4>1245233</vt:i4>
      </vt:variant>
      <vt:variant>
        <vt:i4>140</vt:i4>
      </vt:variant>
      <vt:variant>
        <vt:i4>0</vt:i4>
      </vt:variant>
      <vt:variant>
        <vt:i4>5</vt:i4>
      </vt:variant>
      <vt:variant>
        <vt:lpwstr/>
      </vt:variant>
      <vt:variant>
        <vt:lpwstr>_Toc333926384</vt:lpwstr>
      </vt:variant>
      <vt:variant>
        <vt:i4>1245233</vt:i4>
      </vt:variant>
      <vt:variant>
        <vt:i4>134</vt:i4>
      </vt:variant>
      <vt:variant>
        <vt:i4>0</vt:i4>
      </vt:variant>
      <vt:variant>
        <vt:i4>5</vt:i4>
      </vt:variant>
      <vt:variant>
        <vt:lpwstr/>
      </vt:variant>
      <vt:variant>
        <vt:lpwstr>_Toc333926383</vt:lpwstr>
      </vt:variant>
      <vt:variant>
        <vt:i4>1245233</vt:i4>
      </vt:variant>
      <vt:variant>
        <vt:i4>128</vt:i4>
      </vt:variant>
      <vt:variant>
        <vt:i4>0</vt:i4>
      </vt:variant>
      <vt:variant>
        <vt:i4>5</vt:i4>
      </vt:variant>
      <vt:variant>
        <vt:lpwstr/>
      </vt:variant>
      <vt:variant>
        <vt:lpwstr>_Toc333926382</vt:lpwstr>
      </vt:variant>
      <vt:variant>
        <vt:i4>1245233</vt:i4>
      </vt:variant>
      <vt:variant>
        <vt:i4>122</vt:i4>
      </vt:variant>
      <vt:variant>
        <vt:i4>0</vt:i4>
      </vt:variant>
      <vt:variant>
        <vt:i4>5</vt:i4>
      </vt:variant>
      <vt:variant>
        <vt:lpwstr/>
      </vt:variant>
      <vt:variant>
        <vt:lpwstr>_Toc333926381</vt:lpwstr>
      </vt:variant>
      <vt:variant>
        <vt:i4>1245233</vt:i4>
      </vt:variant>
      <vt:variant>
        <vt:i4>116</vt:i4>
      </vt:variant>
      <vt:variant>
        <vt:i4>0</vt:i4>
      </vt:variant>
      <vt:variant>
        <vt:i4>5</vt:i4>
      </vt:variant>
      <vt:variant>
        <vt:lpwstr/>
      </vt:variant>
      <vt:variant>
        <vt:lpwstr>_Toc333926380</vt:lpwstr>
      </vt:variant>
      <vt:variant>
        <vt:i4>1835057</vt:i4>
      </vt:variant>
      <vt:variant>
        <vt:i4>110</vt:i4>
      </vt:variant>
      <vt:variant>
        <vt:i4>0</vt:i4>
      </vt:variant>
      <vt:variant>
        <vt:i4>5</vt:i4>
      </vt:variant>
      <vt:variant>
        <vt:lpwstr/>
      </vt:variant>
      <vt:variant>
        <vt:lpwstr>_Toc333926379</vt:lpwstr>
      </vt:variant>
      <vt:variant>
        <vt:i4>1835057</vt:i4>
      </vt:variant>
      <vt:variant>
        <vt:i4>104</vt:i4>
      </vt:variant>
      <vt:variant>
        <vt:i4>0</vt:i4>
      </vt:variant>
      <vt:variant>
        <vt:i4>5</vt:i4>
      </vt:variant>
      <vt:variant>
        <vt:lpwstr/>
      </vt:variant>
      <vt:variant>
        <vt:lpwstr>_Toc333926378</vt:lpwstr>
      </vt:variant>
      <vt:variant>
        <vt:i4>1835057</vt:i4>
      </vt:variant>
      <vt:variant>
        <vt:i4>98</vt:i4>
      </vt:variant>
      <vt:variant>
        <vt:i4>0</vt:i4>
      </vt:variant>
      <vt:variant>
        <vt:i4>5</vt:i4>
      </vt:variant>
      <vt:variant>
        <vt:lpwstr/>
      </vt:variant>
      <vt:variant>
        <vt:lpwstr>_Toc333926377</vt:lpwstr>
      </vt:variant>
      <vt:variant>
        <vt:i4>1835057</vt:i4>
      </vt:variant>
      <vt:variant>
        <vt:i4>92</vt:i4>
      </vt:variant>
      <vt:variant>
        <vt:i4>0</vt:i4>
      </vt:variant>
      <vt:variant>
        <vt:i4>5</vt:i4>
      </vt:variant>
      <vt:variant>
        <vt:lpwstr/>
      </vt:variant>
      <vt:variant>
        <vt:lpwstr>_Toc333926376</vt:lpwstr>
      </vt:variant>
      <vt:variant>
        <vt:i4>1835057</vt:i4>
      </vt:variant>
      <vt:variant>
        <vt:i4>86</vt:i4>
      </vt:variant>
      <vt:variant>
        <vt:i4>0</vt:i4>
      </vt:variant>
      <vt:variant>
        <vt:i4>5</vt:i4>
      </vt:variant>
      <vt:variant>
        <vt:lpwstr/>
      </vt:variant>
      <vt:variant>
        <vt:lpwstr>_Toc333926375</vt:lpwstr>
      </vt:variant>
      <vt:variant>
        <vt:i4>1835057</vt:i4>
      </vt:variant>
      <vt:variant>
        <vt:i4>80</vt:i4>
      </vt:variant>
      <vt:variant>
        <vt:i4>0</vt:i4>
      </vt:variant>
      <vt:variant>
        <vt:i4>5</vt:i4>
      </vt:variant>
      <vt:variant>
        <vt:lpwstr/>
      </vt:variant>
      <vt:variant>
        <vt:lpwstr>_Toc333926374</vt:lpwstr>
      </vt:variant>
      <vt:variant>
        <vt:i4>1835057</vt:i4>
      </vt:variant>
      <vt:variant>
        <vt:i4>74</vt:i4>
      </vt:variant>
      <vt:variant>
        <vt:i4>0</vt:i4>
      </vt:variant>
      <vt:variant>
        <vt:i4>5</vt:i4>
      </vt:variant>
      <vt:variant>
        <vt:lpwstr/>
      </vt:variant>
      <vt:variant>
        <vt:lpwstr>_Toc333926373</vt:lpwstr>
      </vt:variant>
      <vt:variant>
        <vt:i4>1835057</vt:i4>
      </vt:variant>
      <vt:variant>
        <vt:i4>68</vt:i4>
      </vt:variant>
      <vt:variant>
        <vt:i4>0</vt:i4>
      </vt:variant>
      <vt:variant>
        <vt:i4>5</vt:i4>
      </vt:variant>
      <vt:variant>
        <vt:lpwstr/>
      </vt:variant>
      <vt:variant>
        <vt:lpwstr>_Toc333926372</vt:lpwstr>
      </vt:variant>
      <vt:variant>
        <vt:i4>1835057</vt:i4>
      </vt:variant>
      <vt:variant>
        <vt:i4>62</vt:i4>
      </vt:variant>
      <vt:variant>
        <vt:i4>0</vt:i4>
      </vt:variant>
      <vt:variant>
        <vt:i4>5</vt:i4>
      </vt:variant>
      <vt:variant>
        <vt:lpwstr/>
      </vt:variant>
      <vt:variant>
        <vt:lpwstr>_Toc333926371</vt:lpwstr>
      </vt:variant>
      <vt:variant>
        <vt:i4>1835057</vt:i4>
      </vt:variant>
      <vt:variant>
        <vt:i4>56</vt:i4>
      </vt:variant>
      <vt:variant>
        <vt:i4>0</vt:i4>
      </vt:variant>
      <vt:variant>
        <vt:i4>5</vt:i4>
      </vt:variant>
      <vt:variant>
        <vt:lpwstr/>
      </vt:variant>
      <vt:variant>
        <vt:lpwstr>_Toc333926370</vt:lpwstr>
      </vt:variant>
      <vt:variant>
        <vt:i4>1900593</vt:i4>
      </vt:variant>
      <vt:variant>
        <vt:i4>50</vt:i4>
      </vt:variant>
      <vt:variant>
        <vt:i4>0</vt:i4>
      </vt:variant>
      <vt:variant>
        <vt:i4>5</vt:i4>
      </vt:variant>
      <vt:variant>
        <vt:lpwstr/>
      </vt:variant>
      <vt:variant>
        <vt:lpwstr>_Toc333926369</vt:lpwstr>
      </vt:variant>
      <vt:variant>
        <vt:i4>1900593</vt:i4>
      </vt:variant>
      <vt:variant>
        <vt:i4>44</vt:i4>
      </vt:variant>
      <vt:variant>
        <vt:i4>0</vt:i4>
      </vt:variant>
      <vt:variant>
        <vt:i4>5</vt:i4>
      </vt:variant>
      <vt:variant>
        <vt:lpwstr/>
      </vt:variant>
      <vt:variant>
        <vt:lpwstr>_Toc333926368</vt:lpwstr>
      </vt:variant>
      <vt:variant>
        <vt:i4>1900593</vt:i4>
      </vt:variant>
      <vt:variant>
        <vt:i4>38</vt:i4>
      </vt:variant>
      <vt:variant>
        <vt:i4>0</vt:i4>
      </vt:variant>
      <vt:variant>
        <vt:i4>5</vt:i4>
      </vt:variant>
      <vt:variant>
        <vt:lpwstr/>
      </vt:variant>
      <vt:variant>
        <vt:lpwstr>_Toc333926367</vt:lpwstr>
      </vt:variant>
      <vt:variant>
        <vt:i4>1900593</vt:i4>
      </vt:variant>
      <vt:variant>
        <vt:i4>32</vt:i4>
      </vt:variant>
      <vt:variant>
        <vt:i4>0</vt:i4>
      </vt:variant>
      <vt:variant>
        <vt:i4>5</vt:i4>
      </vt:variant>
      <vt:variant>
        <vt:lpwstr/>
      </vt:variant>
      <vt:variant>
        <vt:lpwstr>_Toc333926366</vt:lpwstr>
      </vt:variant>
      <vt:variant>
        <vt:i4>1900593</vt:i4>
      </vt:variant>
      <vt:variant>
        <vt:i4>26</vt:i4>
      </vt:variant>
      <vt:variant>
        <vt:i4>0</vt:i4>
      </vt:variant>
      <vt:variant>
        <vt:i4>5</vt:i4>
      </vt:variant>
      <vt:variant>
        <vt:lpwstr/>
      </vt:variant>
      <vt:variant>
        <vt:lpwstr>_Toc333926365</vt:lpwstr>
      </vt:variant>
      <vt:variant>
        <vt:i4>1900593</vt:i4>
      </vt:variant>
      <vt:variant>
        <vt:i4>20</vt:i4>
      </vt:variant>
      <vt:variant>
        <vt:i4>0</vt:i4>
      </vt:variant>
      <vt:variant>
        <vt:i4>5</vt:i4>
      </vt:variant>
      <vt:variant>
        <vt:lpwstr/>
      </vt:variant>
      <vt:variant>
        <vt:lpwstr>_Toc333926364</vt:lpwstr>
      </vt:variant>
      <vt:variant>
        <vt:i4>1900593</vt:i4>
      </vt:variant>
      <vt:variant>
        <vt:i4>14</vt:i4>
      </vt:variant>
      <vt:variant>
        <vt:i4>0</vt:i4>
      </vt:variant>
      <vt:variant>
        <vt:i4>5</vt:i4>
      </vt:variant>
      <vt:variant>
        <vt:lpwstr/>
      </vt:variant>
      <vt:variant>
        <vt:lpwstr>_Toc333926363</vt:lpwstr>
      </vt:variant>
      <vt:variant>
        <vt:i4>1900593</vt:i4>
      </vt:variant>
      <vt:variant>
        <vt:i4>8</vt:i4>
      </vt:variant>
      <vt:variant>
        <vt:i4>0</vt:i4>
      </vt:variant>
      <vt:variant>
        <vt:i4>5</vt:i4>
      </vt:variant>
      <vt:variant>
        <vt:lpwstr/>
      </vt:variant>
      <vt:variant>
        <vt:lpwstr>_Toc333926362</vt:lpwstr>
      </vt:variant>
      <vt:variant>
        <vt:i4>1900593</vt:i4>
      </vt:variant>
      <vt:variant>
        <vt:i4>2</vt:i4>
      </vt:variant>
      <vt:variant>
        <vt:i4>0</vt:i4>
      </vt:variant>
      <vt:variant>
        <vt:i4>5</vt:i4>
      </vt:variant>
      <vt:variant>
        <vt:lpwstr/>
      </vt:variant>
      <vt:variant>
        <vt:lpwstr>_Toc333926361</vt:lpwstr>
      </vt:variant>
      <vt:variant>
        <vt:i4>852020</vt:i4>
      </vt:variant>
      <vt:variant>
        <vt:i4>15</vt:i4>
      </vt:variant>
      <vt:variant>
        <vt:i4>0</vt:i4>
      </vt:variant>
      <vt:variant>
        <vt:i4>5</vt:i4>
      </vt:variant>
      <vt:variant>
        <vt:lpwstr>http://www.deeresources.com/index.php?option=com_content&amp;view=article&amp;id=65&amp;Itemid=57</vt:lpwstr>
      </vt:variant>
      <vt:variant>
        <vt:lpwstr/>
      </vt:variant>
      <vt:variant>
        <vt:i4>917561</vt:i4>
      </vt:variant>
      <vt:variant>
        <vt:i4>12</vt:i4>
      </vt:variant>
      <vt:variant>
        <vt:i4>0</vt:i4>
      </vt:variant>
      <vt:variant>
        <vt:i4>5</vt:i4>
      </vt:variant>
      <vt:variant>
        <vt:lpwstr>http://www.deeresources.com/index.php?option=com_content&amp;view=article&amp;id=68&amp;Itemid=60</vt:lpwstr>
      </vt:variant>
      <vt:variant>
        <vt:lpwstr/>
      </vt:variant>
      <vt:variant>
        <vt:i4>917561</vt:i4>
      </vt:variant>
      <vt:variant>
        <vt:i4>9</vt:i4>
      </vt:variant>
      <vt:variant>
        <vt:i4>0</vt:i4>
      </vt:variant>
      <vt:variant>
        <vt:i4>5</vt:i4>
      </vt:variant>
      <vt:variant>
        <vt:lpwstr>http://www.deeresources.com/index.php?option=com_content&amp;view=article&amp;id=68&amp;Itemid=60</vt:lpwstr>
      </vt:variant>
      <vt:variant>
        <vt:lpwstr/>
      </vt:variant>
      <vt:variant>
        <vt:i4>1835083</vt:i4>
      </vt:variant>
      <vt:variant>
        <vt:i4>6</vt:i4>
      </vt:variant>
      <vt:variant>
        <vt:i4>0</vt:i4>
      </vt:variant>
      <vt:variant>
        <vt:i4>5</vt:i4>
      </vt:variant>
      <vt:variant>
        <vt:lpwstr>http://www.deeresources.com/DEER2011/download/DEER2011_NTGR_2012-05-16.xls</vt:lpwstr>
      </vt:variant>
      <vt:variant>
        <vt:lpwstr/>
      </vt:variant>
      <vt:variant>
        <vt:i4>917561</vt:i4>
      </vt:variant>
      <vt:variant>
        <vt:i4>3</vt:i4>
      </vt:variant>
      <vt:variant>
        <vt:i4>0</vt:i4>
      </vt:variant>
      <vt:variant>
        <vt:i4>5</vt:i4>
      </vt:variant>
      <vt:variant>
        <vt:lpwstr>http://www.deeresources.com/index.php?option=com_content&amp;view=article&amp;id=68&amp;Itemid=60</vt:lpwstr>
      </vt:variant>
      <vt:variant>
        <vt:lpwstr/>
      </vt:variant>
      <vt:variant>
        <vt:i4>4653176</vt:i4>
      </vt:variant>
      <vt:variant>
        <vt:i4>0</vt:i4>
      </vt:variant>
      <vt:variant>
        <vt:i4>0</vt:i4>
      </vt:variant>
      <vt:variant>
        <vt:i4>5</vt:i4>
      </vt:variant>
      <vt:variant>
        <vt:lpwstr>http://www.calmac.org/warn_dload.asp?e=0&amp;id=2071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18</cp:revision>
  <cp:lastPrinted>2015-10-08T20:23:00Z</cp:lastPrinted>
  <dcterms:created xsi:type="dcterms:W3CDTF">2015-10-08T18:43:00Z</dcterms:created>
  <dcterms:modified xsi:type="dcterms:W3CDTF">2015-12-02T19:31:00Z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1740800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